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460E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b w:val="0"/>
          <w:bCs/>
          <w:color w:val="auto"/>
          <w:sz w:val="44"/>
          <w:szCs w:val="44"/>
          <w:lang w:val="en-US" w:eastAsia="zh-CN"/>
        </w:rPr>
      </w:pPr>
      <w:bookmarkStart w:id="116" w:name="_GoBack"/>
      <w:r>
        <w:rPr>
          <w:rFonts w:hint="eastAsia" w:ascii="方正小标宋简体" w:hAnsi="方正小标宋简体" w:eastAsia="方正小标宋简体" w:cs="方正小标宋简体"/>
          <w:b w:val="0"/>
          <w:bCs/>
          <w:color w:val="auto"/>
          <w:sz w:val="44"/>
          <w:szCs w:val="44"/>
          <w:lang w:val="en-US" w:eastAsia="zh-CN"/>
        </w:rPr>
        <w:t>茅台学院工会经费收支管理</w:t>
      </w:r>
      <w:bookmarkStart w:id="0" w:name="_Toc425256963"/>
      <w:r>
        <w:rPr>
          <w:rFonts w:hint="eastAsia" w:ascii="方正小标宋简体" w:hAnsi="方正小标宋简体" w:eastAsia="方正小标宋简体" w:cs="方正小标宋简体"/>
          <w:b w:val="0"/>
          <w:bCs/>
          <w:color w:val="auto"/>
          <w:sz w:val="44"/>
          <w:szCs w:val="44"/>
          <w:lang w:val="en-US" w:eastAsia="zh-CN"/>
        </w:rPr>
        <w:t>实施细则</w:t>
      </w:r>
      <w:bookmarkEnd w:id="116"/>
    </w:p>
    <w:p w14:paraId="10F658A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b w:val="0"/>
          <w:bCs/>
          <w:color w:val="auto"/>
          <w:sz w:val="32"/>
          <w:szCs w:val="32"/>
          <w:lang w:val="en-US" w:eastAsia="zh-CN"/>
        </w:rPr>
      </w:pPr>
    </w:p>
    <w:p w14:paraId="3C87B117">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b w:val="0"/>
          <w:bCs/>
          <w:color w:val="auto"/>
          <w:sz w:val="32"/>
          <w:szCs w:val="32"/>
          <w:lang w:val="en-US" w:eastAsia="zh-CN"/>
        </w:rPr>
      </w:pPr>
      <w:r>
        <w:rPr>
          <w:rFonts w:hint="eastAsia" w:ascii="方正小标宋简体" w:hAnsi="方正小标宋简体" w:eastAsia="方正小标宋简体" w:cs="方正小标宋简体"/>
          <w:b w:val="0"/>
          <w:bCs/>
          <w:color w:val="auto"/>
          <w:sz w:val="32"/>
          <w:szCs w:val="32"/>
          <w:lang w:val="en-US" w:eastAsia="zh-CN"/>
        </w:rPr>
        <w:t>第一章   总  则</w:t>
      </w:r>
      <w:bookmarkEnd w:id="0"/>
    </w:p>
    <w:p w14:paraId="393B3BB7">
      <w:pPr>
        <w:pStyle w:val="7"/>
        <w:keepNext w:val="0"/>
        <w:keepLines w:val="0"/>
        <w:pageBreakBefore w:val="0"/>
        <w:widowControl w:val="0"/>
        <w:kinsoku/>
        <w:wordWrap/>
        <w:overflowPunct/>
        <w:topLinePunct w:val="0"/>
        <w:autoSpaceDE/>
        <w:autoSpaceDN/>
        <w:bidi w:val="0"/>
        <w:adjustRightInd/>
        <w:snapToGrid/>
        <w:spacing w:line="576" w:lineRule="exact"/>
        <w:ind w:left="0" w:leftChars="0" w:firstLine="60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color w:val="auto"/>
          <w:sz w:val="30"/>
          <w:szCs w:val="30"/>
          <w:lang w:val="en-US" w:eastAsia="zh-CN"/>
        </w:rPr>
        <w:t xml:space="preserve">第一条  </w:t>
      </w:r>
      <w:r>
        <w:rPr>
          <w:rFonts w:hint="eastAsia" w:ascii="仿宋_GB2312" w:hAnsi="仿宋_GB2312" w:eastAsia="仿宋_GB2312" w:cs="仿宋_GB2312"/>
          <w:color w:val="auto"/>
          <w:sz w:val="32"/>
          <w:szCs w:val="32"/>
          <w:lang w:val="en-US" w:eastAsia="zh-CN"/>
        </w:rPr>
        <w:t>为加强工会经费收支管理，规范工会经费使用，根据《中华人民共和国工会法》《中国工会章程》《工会会计制度》《工会预算管理办法》</w:t>
      </w:r>
      <w:bookmarkStart w:id="1" w:name="OLE_LINK91"/>
      <w:r>
        <w:rPr>
          <w:rFonts w:hint="eastAsia" w:ascii="仿宋_GB2312" w:hAnsi="仿宋_GB2312" w:eastAsia="仿宋_GB2312" w:cs="仿宋_GB2312"/>
          <w:color w:val="auto"/>
          <w:sz w:val="32"/>
          <w:szCs w:val="32"/>
          <w:lang w:val="en-US" w:eastAsia="zh-CN"/>
        </w:rPr>
        <w:t>《贵州省基层工会经费收支管理实施细则》（黔工总字〔2025〕20号）</w:t>
      </w:r>
      <w:bookmarkEnd w:id="1"/>
      <w:r>
        <w:rPr>
          <w:rFonts w:hint="eastAsia" w:ascii="仿宋_GB2312" w:hAnsi="仿宋_GB2312" w:eastAsia="仿宋_GB2312" w:cs="仿宋_GB2312"/>
          <w:color w:val="auto"/>
          <w:sz w:val="32"/>
          <w:szCs w:val="32"/>
          <w:lang w:val="en-US" w:eastAsia="zh-CN"/>
        </w:rPr>
        <w:t>《中国贵州茅台酒厂（集团）有限责任公司工会经费收支管理实施细则》（黔茅工字〔2025〕51号）文件的有关规定以及中华全国总工会贯彻落实中央有关规定的要求，结合茅台学院工会委员会实际制定本实施细则。</w:t>
      </w:r>
    </w:p>
    <w:p w14:paraId="434B51EC">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left="0" w:leftChars="0" w:right="0" w:firstLine="640" w:firstLineChars="200"/>
        <w:textAlignment w:val="auto"/>
        <w:rPr>
          <w:rFonts w:hint="eastAsia" w:ascii="仿宋_GB2312" w:hAnsi="仿宋_GB2312" w:eastAsia="仿宋_GB2312" w:cs="仿宋_GB2312"/>
          <w:color w:val="auto"/>
          <w:sz w:val="32"/>
          <w:szCs w:val="32"/>
          <w:u w:val="none"/>
        </w:rPr>
      </w:pPr>
      <w:r>
        <w:rPr>
          <w:rFonts w:hint="eastAsia" w:ascii="黑体" w:hAnsi="黑体" w:eastAsia="黑体" w:cs="黑体"/>
          <w:color w:val="auto"/>
          <w:sz w:val="32"/>
          <w:szCs w:val="32"/>
          <w:u w:val="none"/>
        </w:rPr>
        <w:t>第二条</w:t>
      </w:r>
      <w:r>
        <w:rPr>
          <w:rFonts w:hint="eastAsia" w:ascii="仿宋_GB2312" w:hAnsi="仿宋_GB2312" w:eastAsia="仿宋_GB2312" w:cs="仿宋_GB2312"/>
          <w:color w:val="auto"/>
          <w:sz w:val="32"/>
          <w:szCs w:val="32"/>
          <w:u w:val="none"/>
        </w:rPr>
        <w:t xml:space="preserve">  本</w:t>
      </w:r>
      <w:r>
        <w:rPr>
          <w:rFonts w:hint="eastAsia" w:ascii="仿宋_GB2312" w:hAnsi="仿宋_GB2312" w:eastAsia="仿宋_GB2312" w:cs="仿宋_GB2312"/>
          <w:color w:val="auto"/>
          <w:sz w:val="32"/>
          <w:szCs w:val="32"/>
          <w:lang w:val="en-US" w:eastAsia="zh-CN"/>
        </w:rPr>
        <w:t>实施细则</w:t>
      </w:r>
      <w:r>
        <w:rPr>
          <w:rFonts w:hint="eastAsia" w:ascii="仿宋_GB2312" w:hAnsi="仿宋_GB2312" w:eastAsia="仿宋_GB2312" w:cs="仿宋_GB2312"/>
          <w:color w:val="auto"/>
          <w:sz w:val="32"/>
          <w:szCs w:val="32"/>
          <w:u w:val="none"/>
        </w:rPr>
        <w:t>适用于</w:t>
      </w:r>
      <w:r>
        <w:rPr>
          <w:rFonts w:hint="eastAsia" w:ascii="仿宋_GB2312" w:hAnsi="仿宋_GB2312" w:eastAsia="仿宋_GB2312" w:cs="仿宋_GB2312"/>
          <w:color w:val="auto"/>
          <w:sz w:val="32"/>
          <w:szCs w:val="32"/>
          <w:u w:val="none"/>
          <w:lang w:val="en-US" w:eastAsia="zh-CN"/>
        </w:rPr>
        <w:t>茅台学院</w:t>
      </w:r>
      <w:r>
        <w:rPr>
          <w:rFonts w:hint="eastAsia" w:ascii="仿宋_GB2312" w:hAnsi="仿宋_GB2312" w:eastAsia="仿宋_GB2312" w:cs="仿宋_GB2312"/>
          <w:color w:val="auto"/>
          <w:sz w:val="32"/>
          <w:szCs w:val="32"/>
          <w:u w:val="none"/>
        </w:rPr>
        <w:t>工会委员会（以下简称“</w:t>
      </w:r>
      <w:r>
        <w:rPr>
          <w:rFonts w:hint="eastAsia" w:ascii="仿宋_GB2312" w:hAnsi="仿宋_GB2312" w:eastAsia="仿宋_GB2312" w:cs="仿宋_GB2312"/>
          <w:color w:val="auto"/>
          <w:sz w:val="32"/>
          <w:szCs w:val="32"/>
          <w:u w:val="none"/>
          <w:lang w:val="en-US" w:eastAsia="zh-CN"/>
        </w:rPr>
        <w:t>学校</w:t>
      </w:r>
      <w:r>
        <w:rPr>
          <w:rFonts w:hint="eastAsia" w:ascii="仿宋_GB2312" w:hAnsi="仿宋_GB2312" w:eastAsia="仿宋_GB2312" w:cs="仿宋_GB2312"/>
          <w:color w:val="auto"/>
          <w:sz w:val="32"/>
          <w:szCs w:val="32"/>
          <w:u w:val="none"/>
        </w:rPr>
        <w:t>工会”）。</w:t>
      </w:r>
    </w:p>
    <w:p w14:paraId="1053246F">
      <w:pPr>
        <w:pStyle w:val="7"/>
        <w:keepNext w:val="0"/>
        <w:keepLines w:val="0"/>
        <w:pageBreakBefore w:val="0"/>
        <w:widowControl w:val="0"/>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color w:val="auto"/>
          <w:sz w:val="30"/>
          <w:szCs w:val="30"/>
          <w:lang w:val="en-US" w:eastAsia="zh-CN"/>
        </w:rPr>
        <w:t xml:space="preserve">第三条  </w:t>
      </w:r>
      <w:r>
        <w:rPr>
          <w:rFonts w:hint="eastAsia" w:ascii="仿宋_GB2312" w:hAnsi="仿宋_GB2312" w:eastAsia="仿宋_GB2312" w:cs="仿宋_GB2312"/>
          <w:color w:val="auto"/>
          <w:sz w:val="32"/>
          <w:szCs w:val="32"/>
          <w:lang w:val="en-US" w:eastAsia="zh-CN"/>
        </w:rPr>
        <w:t>工会经费收支管理应遵循以下原则：</w:t>
      </w:r>
    </w:p>
    <w:p w14:paraId="19F728B2">
      <w:pPr>
        <w:pStyle w:val="7"/>
        <w:keepNext w:val="0"/>
        <w:keepLines w:val="0"/>
        <w:pageBreakBefore w:val="0"/>
        <w:widowControl w:val="0"/>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（一）遵纪守法原则。</w:t>
      </w:r>
      <w:r>
        <w:rPr>
          <w:rFonts w:hint="eastAsia" w:ascii="仿宋_GB2312" w:hAnsi="仿宋_GB2312" w:eastAsia="仿宋_GB2312" w:cs="仿宋_GB2312"/>
          <w:color w:val="auto"/>
          <w:sz w:val="32"/>
          <w:szCs w:val="32"/>
          <w:lang w:val="en-US" w:eastAsia="zh-CN"/>
        </w:rPr>
        <w:t>学校工会应依据《中华人民共和国工会法》和有关政策规定，依法组织和筹集各项收入</w:t>
      </w:r>
      <w:r>
        <w:rPr>
          <w:rFonts w:hint="eastAsia" w:ascii="仿宋_GB2312" w:hAnsi="仿宋_GB2312" w:eastAsia="仿宋_GB2312" w:cs="仿宋_GB2312"/>
          <w:color w:val="auto"/>
          <w:sz w:val="32"/>
          <w:szCs w:val="32"/>
          <w:highlight w:val="none"/>
          <w:lang w:val="en-US" w:eastAsia="zh-CN"/>
        </w:rPr>
        <w:t>，严格贯彻落实中央八项规定及其实施细则精神，严格</w:t>
      </w:r>
      <w:r>
        <w:rPr>
          <w:rFonts w:hint="eastAsia" w:ascii="仿宋_GB2312" w:hAnsi="仿宋_GB2312" w:eastAsia="仿宋_GB2312" w:cs="仿宋_GB2312"/>
          <w:color w:val="auto"/>
          <w:sz w:val="32"/>
          <w:szCs w:val="32"/>
          <w:lang w:val="en-US" w:eastAsia="zh-CN"/>
        </w:rPr>
        <w:t>遵守国家法律法规，严格执行全国总工会有关制度规定，严肃财经纪律，严格工会经费使用，</w:t>
      </w:r>
      <w:r>
        <w:rPr>
          <w:rFonts w:hint="eastAsia" w:ascii="仿宋_GB2312" w:hAnsi="仿宋_GB2312" w:eastAsia="仿宋_GB2312" w:cs="仿宋_GB2312"/>
          <w:color w:val="auto"/>
          <w:sz w:val="32"/>
          <w:szCs w:val="32"/>
          <w:highlight w:val="none"/>
          <w:lang w:val="en-US" w:eastAsia="zh-CN"/>
        </w:rPr>
        <w:t>依法合规加</w:t>
      </w:r>
      <w:r>
        <w:rPr>
          <w:rFonts w:hint="eastAsia" w:ascii="仿宋_GB2312" w:hAnsi="仿宋_GB2312" w:eastAsia="仿宋_GB2312" w:cs="仿宋_GB2312"/>
          <w:color w:val="auto"/>
          <w:sz w:val="32"/>
          <w:szCs w:val="32"/>
          <w:lang w:val="en-US" w:eastAsia="zh-CN"/>
        </w:rPr>
        <w:t>强工会经费收支管理。</w:t>
      </w:r>
    </w:p>
    <w:p w14:paraId="5C0F1FB4">
      <w:pPr>
        <w:pStyle w:val="7"/>
        <w:keepNext w:val="0"/>
        <w:keepLines w:val="0"/>
        <w:pageBreakBefore w:val="0"/>
        <w:widowControl w:val="0"/>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（二）经费独立原则。</w:t>
      </w:r>
      <w:r>
        <w:rPr>
          <w:rFonts w:hint="eastAsia" w:ascii="仿宋_GB2312" w:hAnsi="仿宋_GB2312" w:eastAsia="仿宋_GB2312" w:cs="仿宋_GB2312"/>
          <w:color w:val="auto"/>
          <w:sz w:val="32"/>
          <w:szCs w:val="32"/>
          <w:lang w:val="en-US" w:eastAsia="zh-CN"/>
        </w:rPr>
        <w:t>学校工会应依据全国总工会关于工会法人登记管理的有关规定取得工会法人资格，依法独立享有民事权利、承担民事义务，并根据财政部、中国人民银行的有关规定，设立工会独立的银行账户，实行工会经费独立核算。</w:t>
      </w:r>
    </w:p>
    <w:p w14:paraId="3E15B530">
      <w:pPr>
        <w:pStyle w:val="7"/>
        <w:keepNext w:val="0"/>
        <w:keepLines w:val="0"/>
        <w:pageBreakBefore w:val="0"/>
        <w:widowControl w:val="0"/>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（三）预算管理原则。</w:t>
      </w:r>
      <w:r>
        <w:rPr>
          <w:rFonts w:hint="eastAsia" w:ascii="仿宋_GB2312" w:hAnsi="仿宋_GB2312" w:eastAsia="仿宋_GB2312" w:cs="仿宋_GB2312"/>
          <w:color w:val="auto"/>
          <w:sz w:val="32"/>
          <w:szCs w:val="32"/>
          <w:lang w:val="en-US" w:eastAsia="zh-CN"/>
        </w:rPr>
        <w:t>学校工会应严格按照《工会预算管理办法》相关要求，将单位各项收支全部纳入预算管理。工会经费年度收支预算（含中期调整）需经本级工会经费审查委员会审查、同级工会委员会审批同意，并报上级主管工会备案。</w:t>
      </w:r>
    </w:p>
    <w:p w14:paraId="12882891">
      <w:pPr>
        <w:pStyle w:val="7"/>
        <w:keepNext w:val="0"/>
        <w:keepLines w:val="0"/>
        <w:pageBreakBefore w:val="0"/>
        <w:widowControl w:val="0"/>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（四）服务职工原则。</w:t>
      </w:r>
      <w:r>
        <w:rPr>
          <w:rFonts w:hint="eastAsia" w:ascii="仿宋_GB2312" w:hAnsi="仿宋_GB2312" w:eastAsia="仿宋_GB2312" w:cs="仿宋_GB2312"/>
          <w:color w:val="auto"/>
          <w:sz w:val="32"/>
          <w:szCs w:val="32"/>
          <w:lang w:val="en-US" w:eastAsia="zh-CN"/>
        </w:rPr>
        <w:t>坚持工会经费正确的使用方向，优化工会经费支出结构，严格控制一般性支出，将更多的工会经费用于为职工服务和开展工会活动，维护职工的合法权益，增强工会组织服务职工的能力。</w:t>
      </w:r>
    </w:p>
    <w:p w14:paraId="24C5C05F">
      <w:pPr>
        <w:pStyle w:val="7"/>
        <w:keepNext w:val="0"/>
        <w:keepLines w:val="0"/>
        <w:pageBreakBefore w:val="0"/>
        <w:widowControl w:val="0"/>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（五）勤俭节约原则。</w:t>
      </w:r>
      <w:r>
        <w:rPr>
          <w:rFonts w:hint="eastAsia" w:ascii="仿宋_GB2312" w:hAnsi="仿宋_GB2312" w:eastAsia="仿宋_GB2312" w:cs="仿宋_GB2312"/>
          <w:color w:val="auto"/>
          <w:sz w:val="32"/>
          <w:szCs w:val="32"/>
          <w:lang w:val="en-US" w:eastAsia="zh-CN"/>
        </w:rPr>
        <w:t>学校工会应按照党中央、国务院关于厉行勤俭节约反对奢侈浪费的有关规定，严格控制工会经费开支范围和开支标准，经费使用要精打细算，少花钱多办事，节约开支，提高工会经费使用效益。</w:t>
      </w:r>
    </w:p>
    <w:p w14:paraId="3F3C8F49">
      <w:pPr>
        <w:pStyle w:val="7"/>
        <w:keepNext w:val="0"/>
        <w:keepLines w:val="0"/>
        <w:pageBreakBefore w:val="0"/>
        <w:widowControl w:val="0"/>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（六）民主管理原则。</w:t>
      </w:r>
      <w:r>
        <w:rPr>
          <w:rFonts w:hint="eastAsia" w:ascii="仿宋_GB2312" w:hAnsi="仿宋_GB2312" w:eastAsia="仿宋_GB2312" w:cs="仿宋_GB2312"/>
          <w:color w:val="auto"/>
          <w:sz w:val="32"/>
          <w:szCs w:val="32"/>
          <w:lang w:val="en-US" w:eastAsia="zh-CN"/>
        </w:rPr>
        <w:t>学校工会应依靠会员管好用好工会经费。年度工会经费收支情况应定期向会员大会或会员代表大会报告，主动接受会员、同级经审委监督。同时，依法接受上级工会、国家审计监督。</w:t>
      </w:r>
    </w:p>
    <w:p w14:paraId="41466F1D">
      <w:pPr>
        <w:keepNext w:val="0"/>
        <w:keepLines w:val="0"/>
        <w:pageBreakBefore w:val="0"/>
        <w:kinsoku/>
        <w:wordWrap/>
        <w:overflowPunct/>
        <w:topLinePunct w:val="0"/>
        <w:autoSpaceDE/>
        <w:autoSpaceDN/>
        <w:bidi w:val="0"/>
        <w:adjustRightInd/>
        <w:snapToGrid/>
        <w:spacing w:line="576" w:lineRule="exact"/>
        <w:ind w:left="0" w:leftChars="0" w:firstLine="601" w:firstLineChars="0"/>
        <w:jc w:val="center"/>
        <w:rPr>
          <w:rFonts w:hint="eastAsia" w:ascii="方正小标宋简体" w:hAnsi="方正小标宋简体" w:eastAsia="方正小标宋简体" w:cs="方正小标宋简体"/>
          <w:b w:val="0"/>
          <w:bCs/>
          <w:color w:val="auto"/>
          <w:sz w:val="32"/>
          <w:szCs w:val="32"/>
          <w:lang w:val="en-US" w:eastAsia="zh-CN"/>
        </w:rPr>
      </w:pPr>
      <w:r>
        <w:rPr>
          <w:rFonts w:hint="eastAsia" w:ascii="方正小标宋简体" w:hAnsi="方正小标宋简体" w:eastAsia="方正小标宋简体" w:cs="方正小标宋简体"/>
          <w:b w:val="0"/>
          <w:bCs/>
          <w:color w:val="auto"/>
          <w:sz w:val="32"/>
          <w:szCs w:val="32"/>
          <w:lang w:val="en-US" w:eastAsia="zh-CN"/>
        </w:rPr>
        <w:t>第二章　</w:t>
      </w:r>
      <w:r>
        <w:rPr>
          <w:rFonts w:hint="eastAsia" w:ascii="方正小标宋简体" w:hAnsi="方正小标宋简体" w:eastAsia="方正小标宋简体" w:cs="方正小标宋简体"/>
          <w:b w:val="0"/>
          <w:bCs/>
          <w:color w:val="auto"/>
          <w:sz w:val="32"/>
          <w:szCs w:val="32"/>
          <w:highlight w:val="none"/>
          <w:lang w:val="en-US" w:eastAsia="zh-CN"/>
        </w:rPr>
        <w:t>工会经费收入</w:t>
      </w:r>
    </w:p>
    <w:p w14:paraId="7E76BD7F">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黑体" w:hAnsi="黑体" w:eastAsia="黑体" w:cs="黑体"/>
          <w:b w:val="0"/>
          <w:bCs/>
          <w:color w:val="auto"/>
          <w:sz w:val="30"/>
          <w:szCs w:val="30"/>
          <w:lang w:val="en-US" w:eastAsia="zh-CN"/>
        </w:rPr>
        <w:t xml:space="preserve">第四条  </w:t>
      </w:r>
      <w:r>
        <w:rPr>
          <w:rFonts w:hint="eastAsia" w:ascii="仿宋_GB2312" w:hAnsi="仿宋_GB2312" w:eastAsia="仿宋_GB2312" w:cs="仿宋_GB2312"/>
          <w:color w:val="auto"/>
          <w:kern w:val="2"/>
          <w:sz w:val="32"/>
          <w:szCs w:val="32"/>
          <w:lang w:val="en-US" w:eastAsia="zh-CN" w:bidi="ar-SA"/>
        </w:rPr>
        <w:t>工会经费收入的范围包括：</w:t>
      </w:r>
    </w:p>
    <w:p w14:paraId="5D86C7A0">
      <w:pPr>
        <w:keepNext w:val="0"/>
        <w:keepLines w:val="0"/>
        <w:pageBreakBefore w:val="0"/>
        <w:tabs>
          <w:tab w:val="left" w:pos="2205"/>
        </w:tabs>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（一）会费收入。</w:t>
      </w:r>
      <w:r>
        <w:rPr>
          <w:rFonts w:hint="eastAsia" w:ascii="仿宋_GB2312" w:hAnsi="仿宋_GB2312" w:eastAsia="仿宋_GB2312" w:cs="仿宋_GB2312"/>
          <w:color w:val="auto"/>
          <w:kern w:val="2"/>
          <w:sz w:val="32"/>
          <w:szCs w:val="32"/>
          <w:lang w:val="en-US" w:eastAsia="zh-CN" w:bidi="ar-SA"/>
        </w:rPr>
        <w:t>指学校工会会员依照全国总工会规定按基本工资的5‰向学校工会缴纳的会费。</w:t>
      </w:r>
    </w:p>
    <w:p w14:paraId="15024B94">
      <w:pPr>
        <w:keepNext w:val="0"/>
        <w:keepLines w:val="0"/>
        <w:pageBreakBefore w:val="0"/>
        <w:tabs>
          <w:tab w:val="left" w:pos="2205"/>
        </w:tabs>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（二）拨缴经费收入。</w:t>
      </w:r>
      <w:r>
        <w:rPr>
          <w:rFonts w:hint="eastAsia" w:ascii="仿宋_GB2312" w:hAnsi="仿宋_GB2312" w:eastAsia="仿宋_GB2312" w:cs="仿宋_GB2312"/>
          <w:color w:val="auto"/>
          <w:kern w:val="2"/>
          <w:sz w:val="32"/>
          <w:szCs w:val="32"/>
          <w:lang w:val="en-US" w:eastAsia="zh-CN" w:bidi="ar-SA"/>
        </w:rPr>
        <w:t>指</w:t>
      </w:r>
      <w:r>
        <w:rPr>
          <w:rFonts w:hint="eastAsia" w:ascii="仿宋_GB2312" w:hAnsi="仿宋_GB2312" w:eastAsia="仿宋_GB2312" w:cs="仿宋_GB2312"/>
          <w:color w:val="auto"/>
          <w:kern w:val="2"/>
          <w:sz w:val="32"/>
          <w:szCs w:val="32"/>
          <w:highlight w:val="none"/>
          <w:lang w:val="en-US" w:eastAsia="zh-CN" w:bidi="ar-SA"/>
        </w:rPr>
        <w:t>学校按全部教职工工资总额的2%依法向</w:t>
      </w:r>
      <w:r>
        <w:rPr>
          <w:rFonts w:hint="eastAsia" w:ascii="仿宋_GB2312" w:hAnsi="仿宋_GB2312" w:eastAsia="仿宋_GB2312" w:cs="仿宋_GB2312"/>
          <w:color w:val="auto"/>
          <w:sz w:val="32"/>
          <w:szCs w:val="32"/>
          <w:highlight w:val="none"/>
          <w:lang w:val="en-US" w:eastAsia="zh-CN"/>
        </w:rPr>
        <w:t>上级（所在</w:t>
      </w:r>
      <w:r>
        <w:rPr>
          <w:rFonts w:hint="eastAsia" w:ascii="仿宋_GB2312" w:hAnsi="仿宋_GB2312" w:eastAsia="仿宋_GB2312" w:cs="仿宋_GB2312"/>
          <w:color w:val="auto"/>
          <w:sz w:val="32"/>
          <w:szCs w:val="32"/>
          <w:lang w:val="en-US" w:eastAsia="zh-CN"/>
        </w:rPr>
        <w:t>地）</w:t>
      </w:r>
      <w:r>
        <w:rPr>
          <w:rFonts w:hint="eastAsia" w:ascii="仿宋_GB2312" w:hAnsi="仿宋_GB2312" w:eastAsia="仿宋_GB2312" w:cs="仿宋_GB2312"/>
          <w:color w:val="auto"/>
          <w:kern w:val="2"/>
          <w:sz w:val="32"/>
          <w:szCs w:val="32"/>
          <w:lang w:val="en-US" w:eastAsia="zh-CN" w:bidi="ar-SA"/>
        </w:rPr>
        <w:t>工会拨缴的经费中留成的部分。</w:t>
      </w:r>
    </w:p>
    <w:p w14:paraId="78AF295F">
      <w:pPr>
        <w:keepNext w:val="0"/>
        <w:keepLines w:val="0"/>
        <w:pageBreakBefore w:val="0"/>
        <w:tabs>
          <w:tab w:val="left" w:pos="2205"/>
        </w:tabs>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（三）上级补助收入。</w:t>
      </w:r>
      <w:r>
        <w:rPr>
          <w:rFonts w:hint="eastAsia" w:ascii="仿宋_GB2312" w:hAnsi="仿宋_GB2312" w:eastAsia="仿宋_GB2312" w:cs="仿宋_GB2312"/>
          <w:color w:val="auto"/>
          <w:kern w:val="2"/>
          <w:sz w:val="32"/>
          <w:szCs w:val="32"/>
          <w:lang w:val="en-US" w:eastAsia="zh-CN" w:bidi="ar-SA"/>
        </w:rPr>
        <w:t>指收到的上级工会拨付的各类补助款项。</w:t>
      </w:r>
    </w:p>
    <w:p w14:paraId="2C66426A">
      <w:pPr>
        <w:keepNext w:val="0"/>
        <w:keepLines w:val="0"/>
        <w:pageBreakBefore w:val="0"/>
        <w:tabs>
          <w:tab w:val="left" w:pos="2205"/>
        </w:tabs>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（四）行政补助收入。</w:t>
      </w:r>
      <w:r>
        <w:rPr>
          <w:rFonts w:hint="eastAsia" w:ascii="仿宋_GB2312" w:hAnsi="仿宋_GB2312" w:eastAsia="仿宋_GB2312" w:cs="仿宋_GB2312"/>
          <w:color w:val="auto"/>
          <w:kern w:val="2"/>
          <w:sz w:val="32"/>
          <w:szCs w:val="32"/>
          <w:lang w:val="en-US" w:eastAsia="zh-CN" w:bidi="ar-SA"/>
        </w:rPr>
        <w:t>指学校工会所在单位依法对工会开展工作给予的各项经费补助。</w:t>
      </w:r>
    </w:p>
    <w:p w14:paraId="1DE060AC">
      <w:pPr>
        <w:keepNext w:val="0"/>
        <w:keepLines w:val="0"/>
        <w:pageBreakBefore w:val="0"/>
        <w:tabs>
          <w:tab w:val="left" w:pos="2205"/>
        </w:tabs>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（五）投资收益。</w:t>
      </w:r>
      <w:r>
        <w:rPr>
          <w:rFonts w:hint="eastAsia" w:ascii="仿宋_GB2312" w:hAnsi="仿宋_GB2312" w:eastAsia="仿宋_GB2312" w:cs="仿宋_GB2312"/>
          <w:color w:val="auto"/>
          <w:kern w:val="2"/>
          <w:sz w:val="32"/>
          <w:szCs w:val="32"/>
          <w:lang w:val="en-US" w:eastAsia="zh-CN" w:bidi="ar-SA"/>
        </w:rPr>
        <w:t>指学校工会依据相关规定对外投资取得的收益。</w:t>
      </w:r>
    </w:p>
    <w:p w14:paraId="33EDB52E">
      <w:pPr>
        <w:keepNext w:val="0"/>
        <w:keepLines w:val="0"/>
        <w:pageBreakBefore w:val="0"/>
        <w:tabs>
          <w:tab w:val="left" w:pos="2205"/>
        </w:tabs>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（六）其他收入。</w:t>
      </w:r>
      <w:r>
        <w:rPr>
          <w:rFonts w:hint="eastAsia" w:ascii="仿宋_GB2312" w:hAnsi="仿宋_GB2312" w:eastAsia="仿宋_GB2312" w:cs="仿宋_GB2312"/>
          <w:color w:val="auto"/>
          <w:kern w:val="2"/>
          <w:sz w:val="32"/>
          <w:szCs w:val="32"/>
          <w:lang w:val="en-US" w:eastAsia="zh-CN" w:bidi="ar-SA"/>
        </w:rPr>
        <w:t>指学校工会取得的资产盘盈、固定资产处置净收入、接受捐赠收入和利息收入等。</w:t>
      </w:r>
    </w:p>
    <w:p w14:paraId="08781ED5">
      <w:pPr>
        <w:keepNext w:val="0"/>
        <w:keepLines w:val="0"/>
        <w:pageBreakBefore w:val="0"/>
        <w:widowControl/>
        <w:kinsoku w:val="0"/>
        <w:wordWrap/>
        <w:overflowPunct/>
        <w:topLinePunct w:val="0"/>
        <w:autoSpaceDE w:val="0"/>
        <w:autoSpaceDN w:val="0"/>
        <w:bidi w:val="0"/>
        <w:adjustRightInd w:val="0"/>
        <w:snapToGrid w:val="0"/>
        <w:spacing w:line="576" w:lineRule="exact"/>
        <w:ind w:right="0" w:firstLine="600" w:firstLineChars="200"/>
        <w:jc w:val="both"/>
        <w:textAlignment w:val="baseline"/>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color w:val="auto"/>
          <w:sz w:val="30"/>
          <w:szCs w:val="30"/>
          <w:lang w:val="en-US" w:eastAsia="zh-CN"/>
        </w:rPr>
        <w:t xml:space="preserve">第五条  </w:t>
      </w:r>
      <w:r>
        <w:rPr>
          <w:rFonts w:hint="eastAsia" w:ascii="仿宋_GB2312" w:hAnsi="仿宋_GB2312" w:eastAsia="仿宋_GB2312" w:cs="仿宋_GB2312"/>
          <w:color w:val="auto"/>
          <w:kern w:val="2"/>
          <w:sz w:val="32"/>
          <w:szCs w:val="32"/>
          <w:lang w:val="en-US" w:eastAsia="zh-CN" w:bidi="ar-SA"/>
        </w:rPr>
        <w:t>学校工会应加强对各项经费收入的管理。要按照会员基本工资和规定的比例，按时收取全部会员应交的会费；</w:t>
      </w:r>
      <w:r>
        <w:rPr>
          <w:rFonts w:hint="eastAsia" w:ascii="仿宋_GB2312" w:hAnsi="仿宋_GB2312" w:eastAsia="仿宋_GB2312" w:cs="仿宋_GB2312"/>
          <w:color w:val="auto"/>
          <w:spacing w:val="0"/>
          <w:sz w:val="32"/>
          <w:szCs w:val="32"/>
          <w:highlight w:val="none"/>
          <w:lang w:val="en-US" w:eastAsia="zh-CN"/>
        </w:rPr>
        <w:t>要敦促行政严格按照全部教职工工资总额的2%及时足额拨缴工会经费；要统筹安排行政补助收入，严格按规定编报预算、按预算批准的用途开支。</w:t>
      </w:r>
    </w:p>
    <w:p w14:paraId="328E5629">
      <w:pPr>
        <w:keepNext w:val="0"/>
        <w:keepLines w:val="0"/>
        <w:pageBreakBefore w:val="0"/>
        <w:kinsoku/>
        <w:wordWrap/>
        <w:overflowPunct/>
        <w:topLinePunct w:val="0"/>
        <w:autoSpaceDE/>
        <w:autoSpaceDN/>
        <w:bidi w:val="0"/>
        <w:adjustRightInd/>
        <w:snapToGrid/>
        <w:spacing w:line="576" w:lineRule="exact"/>
        <w:ind w:left="0" w:leftChars="0" w:firstLine="601" w:firstLineChars="0"/>
        <w:jc w:val="center"/>
        <w:rPr>
          <w:rFonts w:hint="eastAsia" w:ascii="方正小标宋简体" w:hAnsi="方正小标宋简体" w:eastAsia="方正小标宋简体" w:cs="方正小标宋简体"/>
          <w:b w:val="0"/>
          <w:bCs/>
          <w:color w:val="auto"/>
          <w:sz w:val="32"/>
          <w:szCs w:val="32"/>
          <w:lang w:val="en-US" w:eastAsia="zh-CN"/>
        </w:rPr>
      </w:pPr>
      <w:r>
        <w:rPr>
          <w:rFonts w:hint="eastAsia" w:ascii="方正小标宋简体" w:hAnsi="方正小标宋简体" w:eastAsia="方正小标宋简体" w:cs="方正小标宋简体"/>
          <w:b w:val="0"/>
          <w:bCs/>
          <w:color w:val="auto"/>
          <w:sz w:val="32"/>
          <w:szCs w:val="32"/>
          <w:lang w:val="en-US" w:eastAsia="zh-CN"/>
        </w:rPr>
        <w:t>第三章　</w:t>
      </w:r>
      <w:r>
        <w:rPr>
          <w:rFonts w:hint="eastAsia" w:ascii="方正小标宋简体" w:hAnsi="方正小标宋简体" w:eastAsia="方正小标宋简体" w:cs="方正小标宋简体"/>
          <w:b w:val="0"/>
          <w:bCs/>
          <w:color w:val="auto"/>
          <w:sz w:val="32"/>
          <w:szCs w:val="32"/>
          <w:highlight w:val="none"/>
          <w:lang w:val="en-US" w:eastAsia="zh-CN"/>
        </w:rPr>
        <w:t>工会经费支出</w:t>
      </w:r>
      <w:bookmarkStart w:id="2" w:name="OLE_LINK3"/>
    </w:p>
    <w:bookmarkEnd w:id="2"/>
    <w:p w14:paraId="76FA8CD5">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kern w:val="2"/>
          <w:sz w:val="32"/>
          <w:szCs w:val="32"/>
          <w:lang w:val="en-US" w:eastAsia="zh-CN" w:bidi="ar-SA"/>
        </w:rPr>
      </w:pPr>
      <w:r>
        <w:rPr>
          <w:rFonts w:hint="eastAsia" w:ascii="黑体" w:hAnsi="黑体" w:eastAsia="黑体" w:cs="黑体"/>
          <w:b w:val="0"/>
          <w:bCs/>
          <w:color w:val="auto"/>
          <w:kern w:val="2"/>
          <w:sz w:val="30"/>
          <w:szCs w:val="30"/>
          <w:lang w:val="en-US" w:eastAsia="zh-CN" w:bidi="ar-SA"/>
        </w:rPr>
        <w:t xml:space="preserve">第六条  </w:t>
      </w:r>
      <w:r>
        <w:rPr>
          <w:rFonts w:hint="eastAsia" w:ascii="仿宋_GB2312" w:hAnsi="仿宋_GB2312" w:eastAsia="仿宋_GB2312" w:cs="仿宋_GB2312"/>
          <w:color w:val="auto"/>
          <w:kern w:val="2"/>
          <w:sz w:val="32"/>
          <w:szCs w:val="32"/>
          <w:lang w:val="en-US" w:eastAsia="zh-CN" w:bidi="ar-SA"/>
        </w:rPr>
        <w:t>工会经费主要用于为教职工服务和开展工会活动。支出</w:t>
      </w:r>
      <w:r>
        <w:rPr>
          <w:rFonts w:hint="eastAsia" w:ascii="仿宋_GB2312" w:hAnsi="仿宋_GB2312" w:eastAsia="仿宋_GB2312" w:cs="仿宋_GB2312"/>
          <w:b w:val="0"/>
          <w:bCs w:val="0"/>
          <w:color w:val="auto"/>
          <w:kern w:val="2"/>
          <w:sz w:val="32"/>
          <w:szCs w:val="32"/>
          <w:lang w:val="en-US" w:eastAsia="zh-CN" w:bidi="ar-SA"/>
        </w:rPr>
        <w:t>范围包括：教职工活动支出、教职工服务支出、维权支出、业务支出、资本性支出和其他支出。</w:t>
      </w:r>
    </w:p>
    <w:p w14:paraId="31AE83CF">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b w:val="0"/>
          <w:bCs w:val="0"/>
          <w:color w:val="auto"/>
          <w:kern w:val="2"/>
          <w:sz w:val="32"/>
          <w:szCs w:val="32"/>
          <w:lang w:val="en-US" w:eastAsia="zh-CN" w:bidi="ar-SA"/>
        </w:rPr>
      </w:pPr>
      <w:r>
        <w:rPr>
          <w:rFonts w:hint="eastAsia" w:ascii="黑体" w:hAnsi="黑体" w:eastAsia="黑体" w:cs="黑体"/>
          <w:b w:val="0"/>
          <w:bCs/>
          <w:color w:val="auto"/>
          <w:kern w:val="2"/>
          <w:sz w:val="30"/>
          <w:szCs w:val="30"/>
          <w:lang w:val="en-US" w:eastAsia="zh-CN" w:bidi="ar-SA"/>
        </w:rPr>
        <w:t>第七条</w:t>
      </w:r>
      <w:r>
        <w:rPr>
          <w:rFonts w:hint="eastAsia" w:ascii="仿宋_GB2312" w:hAnsi="仿宋_GB2312" w:eastAsia="仿宋_GB2312" w:cs="仿宋_GB2312"/>
          <w:b w:val="0"/>
          <w:bCs w:val="0"/>
          <w:color w:val="auto"/>
          <w:kern w:val="2"/>
          <w:sz w:val="32"/>
          <w:szCs w:val="32"/>
          <w:lang w:val="en-US" w:eastAsia="zh-CN" w:bidi="ar-SA"/>
        </w:rPr>
        <w:t xml:space="preserve">  教职工活动支出是指工会组织开展教职工教育活动、文体活动、宣传活动、疗休养活动、会员活动等发生的支出。</w:t>
      </w:r>
    </w:p>
    <w:p w14:paraId="62B10EFC">
      <w:pPr>
        <w:pStyle w:val="3"/>
        <w:keepNext w:val="0"/>
        <w:keepLines w:val="0"/>
        <w:pageBreakBefore w:val="0"/>
        <w:widowControl/>
        <w:kinsoku/>
        <w:wordWrap/>
        <w:overflowPunct/>
        <w:topLinePunct w:val="0"/>
        <w:autoSpaceDE/>
        <w:autoSpaceDN/>
        <w:bidi w:val="0"/>
        <w:adjustRightInd/>
        <w:snapToGrid/>
        <w:spacing w:line="576" w:lineRule="exact"/>
        <w:ind w:left="0" w:leftChars="0" w:firstLine="601" w:firstLineChars="0"/>
        <w:jc w:val="left"/>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楷体_GB2312" w:hAnsi="楷体_GB2312" w:eastAsia="楷体_GB2312" w:cs="楷体_GB2312"/>
          <w:b w:val="0"/>
          <w:bCs w:val="0"/>
          <w:color w:val="auto"/>
          <w:kern w:val="2"/>
          <w:sz w:val="32"/>
          <w:szCs w:val="32"/>
          <w:lang w:val="en-US" w:eastAsia="zh-CN" w:bidi="ar-SA"/>
        </w:rPr>
        <w:t>（一）教职工教育支出。</w:t>
      </w:r>
      <w:r>
        <w:rPr>
          <w:rFonts w:hint="eastAsia" w:ascii="仿宋_GB2312" w:hAnsi="仿宋_GB2312" w:eastAsia="仿宋_GB2312" w:cs="仿宋_GB2312"/>
          <w:b w:val="0"/>
          <w:bCs w:val="0"/>
          <w:color w:val="auto"/>
          <w:kern w:val="2"/>
          <w:sz w:val="32"/>
          <w:szCs w:val="32"/>
          <w:lang w:val="en-US" w:eastAsia="zh-CN" w:bidi="ar-SA"/>
        </w:rPr>
        <w:t>用于工会开展政治、法律、科技、业务等专题培训和教职工技能培训所需的教材资料、教学用品、场地租金等方面的支出；用于支付教职工教育活动聘请授课人员的酬金；用于工会开展的教职工素质提升补助和教职工教育培训优秀学员的奖励。</w:t>
      </w:r>
    </w:p>
    <w:p w14:paraId="3BB3419F">
      <w:pPr>
        <w:pStyle w:val="3"/>
        <w:keepNext w:val="0"/>
        <w:keepLines w:val="0"/>
        <w:pageBreakBefore w:val="0"/>
        <w:widowControl/>
        <w:kinsoku/>
        <w:wordWrap/>
        <w:overflowPunct/>
        <w:topLinePunct w:val="0"/>
        <w:autoSpaceDE/>
        <w:autoSpaceDN/>
        <w:bidi w:val="0"/>
        <w:adjustRightInd/>
        <w:snapToGrid/>
        <w:spacing w:line="576" w:lineRule="exact"/>
        <w:ind w:left="0" w:leftChars="0" w:firstLine="601" w:firstLineChars="0"/>
        <w:jc w:val="left"/>
        <w:textAlignment w:val="auto"/>
        <w:rPr>
          <w:rFonts w:hint="eastAsia" w:ascii="仿宋_GB2312" w:hAnsi="仿宋_GB2312" w:eastAsia="仿宋_GB2312" w:cs="仿宋_GB2312"/>
          <w:b w:val="0"/>
          <w:bCs w:val="0"/>
          <w:color w:val="auto"/>
          <w:kern w:val="2"/>
          <w:sz w:val="32"/>
          <w:szCs w:val="32"/>
          <w:highlight w:val="none"/>
          <w:lang w:val="en-US" w:eastAsia="zh-CN"/>
        </w:rPr>
      </w:pPr>
      <w:r>
        <w:rPr>
          <w:rFonts w:hint="eastAsia" w:ascii="仿宋_GB2312" w:hAnsi="仿宋_GB2312" w:eastAsia="仿宋_GB2312" w:cs="仿宋_GB2312"/>
          <w:color w:val="auto"/>
          <w:kern w:val="2"/>
          <w:sz w:val="32"/>
          <w:szCs w:val="32"/>
          <w:lang w:val="en-US" w:eastAsia="zh-CN" w:bidi="ar-SA"/>
        </w:rPr>
        <w:t>1.培训形式：参照</w:t>
      </w:r>
      <w:bookmarkStart w:id="3" w:name="OLE_LINK103"/>
      <w:r>
        <w:rPr>
          <w:rFonts w:hint="eastAsia" w:ascii="仿宋_GB2312" w:hAnsi="仿宋_GB2312" w:eastAsia="仿宋_GB2312" w:cs="仿宋_GB2312"/>
          <w:b w:val="0"/>
          <w:bCs w:val="0"/>
          <w:color w:val="auto"/>
          <w:kern w:val="2"/>
          <w:sz w:val="32"/>
          <w:szCs w:val="32"/>
          <w:highlight w:val="none"/>
          <w:lang w:val="en-US" w:eastAsia="zh-CN"/>
        </w:rPr>
        <w:t>《集团公司员工教育培训管理办法》</w:t>
      </w:r>
      <w:bookmarkEnd w:id="3"/>
      <w:r>
        <w:rPr>
          <w:rFonts w:hint="eastAsia" w:ascii="仿宋_GB2312" w:hAnsi="仿宋_GB2312" w:eastAsia="仿宋_GB2312" w:cs="仿宋_GB2312"/>
          <w:b w:val="0"/>
          <w:bCs w:val="0"/>
          <w:color w:val="auto"/>
          <w:kern w:val="2"/>
          <w:sz w:val="32"/>
          <w:szCs w:val="32"/>
          <w:highlight w:val="none"/>
          <w:lang w:val="en-US" w:eastAsia="zh-CN"/>
        </w:rPr>
        <w:t>相关规定，将培训形式划分为三类。</w:t>
      </w:r>
    </w:p>
    <w:p w14:paraId="1A79CB3C">
      <w:pPr>
        <w:pStyle w:val="3"/>
        <w:keepNext w:val="0"/>
        <w:keepLines w:val="0"/>
        <w:pageBreakBefore w:val="0"/>
        <w:widowControl/>
        <w:kinsoku/>
        <w:wordWrap/>
        <w:overflowPunct/>
        <w:topLinePunct w:val="0"/>
        <w:autoSpaceDE/>
        <w:autoSpaceDN/>
        <w:bidi w:val="0"/>
        <w:adjustRightInd/>
        <w:snapToGrid/>
        <w:spacing w:line="576" w:lineRule="exact"/>
        <w:ind w:left="0" w:leftChars="0" w:firstLine="601" w:firstLineChars="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（1）内部培训：指通过集团公司内部讲师或外请</w:t>
      </w:r>
      <w:bookmarkStart w:id="4" w:name="OLE_LINK6"/>
      <w:r>
        <w:rPr>
          <w:rFonts w:hint="eastAsia" w:ascii="仿宋_GB2312" w:hAnsi="仿宋_GB2312" w:eastAsia="仿宋_GB2312" w:cs="仿宋_GB2312"/>
          <w:color w:val="auto"/>
          <w:kern w:val="2"/>
          <w:sz w:val="32"/>
          <w:szCs w:val="32"/>
          <w:highlight w:val="none"/>
          <w:lang w:val="en-US" w:eastAsia="zh-CN" w:bidi="ar-SA"/>
        </w:rPr>
        <w:t>讲师、专家</w:t>
      </w:r>
      <w:bookmarkStart w:id="5" w:name="OLE_LINK76"/>
      <w:r>
        <w:rPr>
          <w:rFonts w:hint="eastAsia" w:ascii="仿宋_GB2312" w:hAnsi="仿宋_GB2312" w:eastAsia="仿宋_GB2312" w:cs="仿宋_GB2312"/>
          <w:color w:val="auto"/>
          <w:kern w:val="2"/>
          <w:sz w:val="32"/>
          <w:szCs w:val="32"/>
          <w:highlight w:val="none"/>
          <w:lang w:val="en-US" w:eastAsia="zh-CN" w:bidi="ar-SA"/>
        </w:rPr>
        <w:t>等在单位所在地</w:t>
      </w:r>
      <w:bookmarkEnd w:id="5"/>
      <w:r>
        <w:rPr>
          <w:rFonts w:hint="eastAsia" w:ascii="仿宋_GB2312" w:hAnsi="仿宋_GB2312" w:eastAsia="仿宋_GB2312" w:cs="仿宋_GB2312"/>
          <w:color w:val="auto"/>
          <w:kern w:val="2"/>
          <w:sz w:val="32"/>
          <w:szCs w:val="32"/>
          <w:highlight w:val="none"/>
          <w:lang w:val="en-US" w:eastAsia="zh-CN" w:bidi="ar-SA"/>
        </w:rPr>
        <w:t>开展的培训。</w:t>
      </w:r>
    </w:p>
    <w:bookmarkEnd w:id="4"/>
    <w:p w14:paraId="2DE1609B">
      <w:pPr>
        <w:pStyle w:val="3"/>
        <w:keepNext w:val="0"/>
        <w:keepLines w:val="0"/>
        <w:pageBreakBefore w:val="0"/>
        <w:widowControl/>
        <w:kinsoku/>
        <w:wordWrap/>
        <w:overflowPunct/>
        <w:topLinePunct w:val="0"/>
        <w:autoSpaceDE/>
        <w:autoSpaceDN/>
        <w:bidi w:val="0"/>
        <w:adjustRightInd/>
        <w:snapToGrid/>
        <w:spacing w:line="576" w:lineRule="exact"/>
        <w:ind w:left="0" w:leftChars="0" w:firstLine="601" w:firstLineChars="0"/>
        <w:jc w:val="left"/>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（2）送外培训：是指通过委托高校或选择具有相应资质的专业培训机构在单位所在地以外开展的培训，</w:t>
      </w:r>
      <w:r>
        <w:rPr>
          <w:rFonts w:hint="eastAsia" w:ascii="仿宋_GB2312" w:hAnsi="仿宋_GB2312" w:eastAsia="仿宋_GB2312" w:cs="仿宋_GB2312"/>
          <w:b w:val="0"/>
          <w:bCs w:val="0"/>
          <w:color w:val="auto"/>
          <w:kern w:val="2"/>
          <w:sz w:val="32"/>
          <w:szCs w:val="32"/>
          <w:highlight w:val="none"/>
          <w:lang w:val="en-US" w:eastAsia="zh-CN" w:bidi="ar-SA"/>
        </w:rPr>
        <w:t>往返按一天计算。</w:t>
      </w:r>
    </w:p>
    <w:p w14:paraId="44CEC4E8">
      <w:pPr>
        <w:pStyle w:val="3"/>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left"/>
        <w:textAlignment w:val="auto"/>
        <w:rPr>
          <w:rFonts w:hint="default" w:ascii="仿宋_GB2312" w:hAnsi="仿宋_GB2312" w:eastAsia="仿宋_GB2312" w:cs="仿宋_GB2312"/>
          <w:b/>
          <w:bCs/>
          <w:color w:val="auto"/>
          <w:kern w:val="2"/>
          <w:sz w:val="32"/>
          <w:szCs w:val="32"/>
          <w:highlight w:val="yellow"/>
          <w:lang w:val="en-US" w:eastAsia="zh-CN" w:bidi="ar-SA"/>
        </w:rPr>
      </w:pPr>
      <w:r>
        <w:rPr>
          <w:rFonts w:hint="eastAsia" w:ascii="仿宋_GB2312" w:hAnsi="仿宋_GB2312" w:eastAsia="仿宋_GB2312" w:cs="仿宋_GB2312"/>
          <w:color w:val="auto"/>
          <w:kern w:val="2"/>
          <w:sz w:val="32"/>
          <w:szCs w:val="32"/>
          <w:highlight w:val="none"/>
          <w:lang w:val="en-US" w:eastAsia="zh-CN" w:bidi="ar-SA"/>
        </w:rPr>
        <w:t>（3）网络培训：是指利用线上平台开展的培训。</w:t>
      </w:r>
    </w:p>
    <w:p w14:paraId="49669D04">
      <w:pPr>
        <w:pStyle w:val="3"/>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2.培训奖励</w:t>
      </w:r>
    </w:p>
    <w:p w14:paraId="160BEF47">
      <w:pPr>
        <w:pStyle w:val="3"/>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对五天（含）以上的集中培训，可对优秀学员进行奖励，对优秀学员的奖励应以精神鼓励为主、物质激励为辅，要适当控制比例，奖励人数不超过参加教育培训人员的五分之一，奖励标准人均不超过500元。</w:t>
      </w:r>
    </w:p>
    <w:p w14:paraId="11FD250E">
      <w:pPr>
        <w:pStyle w:val="3"/>
        <w:keepNext w:val="0"/>
        <w:keepLines w:val="0"/>
        <w:pageBreakBefore w:val="0"/>
        <w:widowControl/>
        <w:kinsoku/>
        <w:wordWrap/>
        <w:overflowPunct/>
        <w:topLinePunct w:val="0"/>
        <w:autoSpaceDE/>
        <w:autoSpaceDN/>
        <w:bidi w:val="0"/>
        <w:adjustRightInd/>
        <w:snapToGrid/>
        <w:spacing w:line="576" w:lineRule="exact"/>
        <w:ind w:left="0" w:leftChars="0" w:firstLine="601" w:firstLineChars="0"/>
        <w:jc w:val="left"/>
        <w:textAlignment w:val="auto"/>
        <w:rPr>
          <w:rFonts w:hint="eastAsia" w:ascii="仿宋_GB2312" w:hAnsi="仿宋_GB2312" w:eastAsia="仿宋_GB2312" w:cs="仿宋_GB2312"/>
          <w:color w:val="auto"/>
          <w:kern w:val="2"/>
          <w:sz w:val="32"/>
          <w:szCs w:val="32"/>
          <w:lang w:val="en-US" w:eastAsia="zh-CN" w:bidi="ar-SA"/>
        </w:rPr>
      </w:pPr>
      <w:bookmarkStart w:id="6" w:name="OLE_LINK93"/>
      <w:bookmarkStart w:id="7" w:name="OLE_LINK22"/>
      <w:r>
        <w:rPr>
          <w:rFonts w:hint="eastAsia" w:ascii="仿宋_GB2312" w:hAnsi="仿宋_GB2312" w:eastAsia="仿宋_GB2312" w:cs="仿宋_GB2312"/>
          <w:color w:val="auto"/>
          <w:kern w:val="2"/>
          <w:sz w:val="32"/>
          <w:szCs w:val="32"/>
          <w:lang w:val="en-US" w:eastAsia="zh-CN" w:bidi="ar-SA"/>
        </w:rPr>
        <w:t>3.培训经费：</w:t>
      </w:r>
    </w:p>
    <w:p w14:paraId="7915E4BE">
      <w:pPr>
        <w:pStyle w:val="3"/>
        <w:keepNext w:val="0"/>
        <w:keepLines w:val="0"/>
        <w:pageBreakBefore w:val="0"/>
        <w:widowControl/>
        <w:kinsoku/>
        <w:wordWrap/>
        <w:overflowPunct/>
        <w:topLinePunct w:val="0"/>
        <w:autoSpaceDE/>
        <w:autoSpaceDN/>
        <w:bidi w:val="0"/>
        <w:adjustRightInd/>
        <w:snapToGrid/>
        <w:spacing w:line="576" w:lineRule="exact"/>
        <w:ind w:left="0" w:leftChars="0" w:firstLine="601" w:firstLineChars="0"/>
        <w:jc w:val="left"/>
        <w:textAlignment w:val="auto"/>
        <w:rPr>
          <w:rFonts w:hint="eastAsia" w:ascii="仿宋_GB2312" w:hAnsi="仿宋_GB2312" w:eastAsia="仿宋_GB2312" w:cs="仿宋_GB2312"/>
          <w:b/>
          <w:bCs/>
          <w:color w:val="auto"/>
          <w:kern w:val="2"/>
          <w:sz w:val="32"/>
          <w:szCs w:val="32"/>
          <w:lang w:val="en-US" w:eastAsia="zh-CN"/>
        </w:rPr>
      </w:pPr>
      <w:r>
        <w:rPr>
          <w:rFonts w:hint="eastAsia" w:ascii="仿宋_GB2312" w:hAnsi="仿宋_GB2312" w:eastAsia="仿宋_GB2312" w:cs="仿宋_GB2312"/>
          <w:color w:val="auto"/>
          <w:kern w:val="2"/>
          <w:sz w:val="32"/>
          <w:szCs w:val="32"/>
          <w:highlight w:val="none"/>
          <w:lang w:val="en-US" w:eastAsia="zh-CN"/>
        </w:rPr>
        <w:t>（1）</w:t>
      </w:r>
      <w:bookmarkStart w:id="8" w:name="OLE_LINK90"/>
      <w:r>
        <w:rPr>
          <w:rFonts w:hint="eastAsia" w:ascii="仿宋_GB2312" w:hAnsi="仿宋_GB2312" w:eastAsia="仿宋_GB2312" w:cs="仿宋_GB2312"/>
          <w:b w:val="0"/>
          <w:bCs w:val="0"/>
          <w:color w:val="auto"/>
          <w:kern w:val="2"/>
          <w:sz w:val="32"/>
          <w:szCs w:val="32"/>
          <w:highlight w:val="none"/>
          <w:lang w:val="en-US" w:eastAsia="zh-CN"/>
        </w:rPr>
        <w:t>参照《贵州省省级党政机关培训费管理办法》相关规定，</w:t>
      </w:r>
      <w:bookmarkStart w:id="9" w:name="OLE_LINK98"/>
      <w:r>
        <w:rPr>
          <w:rFonts w:hint="eastAsia" w:ascii="仿宋_GB2312" w:hAnsi="仿宋_GB2312" w:eastAsia="仿宋_GB2312" w:cs="仿宋_GB2312"/>
          <w:b w:val="0"/>
          <w:bCs w:val="0"/>
          <w:color w:val="auto"/>
          <w:kern w:val="2"/>
          <w:sz w:val="32"/>
          <w:szCs w:val="32"/>
          <w:highlight w:val="none"/>
          <w:lang w:val="en-US" w:eastAsia="zh-CN"/>
        </w:rPr>
        <w:t>授课人员酬金</w:t>
      </w:r>
      <w:bookmarkEnd w:id="9"/>
      <w:r>
        <w:rPr>
          <w:rFonts w:hint="eastAsia" w:ascii="仿宋_GB2312" w:hAnsi="仿宋_GB2312" w:eastAsia="仿宋_GB2312" w:cs="仿宋_GB2312"/>
          <w:b w:val="0"/>
          <w:bCs w:val="0"/>
          <w:color w:val="auto"/>
          <w:kern w:val="2"/>
          <w:sz w:val="32"/>
          <w:szCs w:val="32"/>
          <w:highlight w:val="none"/>
          <w:lang w:val="en-US" w:eastAsia="zh-CN"/>
        </w:rPr>
        <w:t>（不含税）按以下标准执行</w:t>
      </w:r>
      <w:bookmarkEnd w:id="8"/>
      <w:r>
        <w:rPr>
          <w:rFonts w:hint="eastAsia" w:ascii="仿宋_GB2312" w:hAnsi="仿宋_GB2312" w:eastAsia="仿宋_GB2312" w:cs="仿宋_GB2312"/>
          <w:b w:val="0"/>
          <w:bCs w:val="0"/>
          <w:color w:val="auto"/>
          <w:kern w:val="2"/>
          <w:sz w:val="32"/>
          <w:szCs w:val="32"/>
          <w:highlight w:val="none"/>
          <w:lang w:val="en-US" w:eastAsia="zh-CN"/>
        </w:rPr>
        <w:t>：</w:t>
      </w:r>
      <w:r>
        <w:rPr>
          <w:rFonts w:hint="eastAsia" w:ascii="仿宋_GB2312" w:hAnsi="仿宋_GB2312" w:eastAsia="仿宋_GB2312" w:cs="仿宋_GB2312"/>
          <w:color w:val="auto"/>
          <w:kern w:val="2"/>
          <w:sz w:val="32"/>
          <w:szCs w:val="32"/>
          <w:highlight w:val="none"/>
          <w:lang w:val="en-US" w:eastAsia="zh-CN"/>
        </w:rPr>
        <w:t>中级技术职称专业人员及以下每学时最高不超过400元，副高级技术</w:t>
      </w:r>
      <w:r>
        <w:rPr>
          <w:rFonts w:hint="eastAsia" w:ascii="仿宋_GB2312" w:hAnsi="仿宋_GB2312" w:eastAsia="仿宋_GB2312" w:cs="仿宋_GB2312"/>
          <w:color w:val="auto"/>
          <w:kern w:val="2"/>
          <w:sz w:val="32"/>
          <w:szCs w:val="32"/>
          <w:lang w:val="en-US" w:eastAsia="zh-CN"/>
        </w:rPr>
        <w:t>职称专业人员每学时最高不超过500元，正高级技术职称专业人员每学时最高不超过1000元，院士、全国知名专家每学时一般不超过1500元。</w:t>
      </w:r>
      <w:r>
        <w:rPr>
          <w:rFonts w:hint="eastAsia" w:ascii="仿宋_GB2312" w:hAnsi="仿宋_GB2312" w:eastAsia="仿宋_GB2312" w:cs="仿宋_GB2312"/>
          <w:b w:val="0"/>
          <w:bCs w:val="0"/>
          <w:color w:val="auto"/>
          <w:kern w:val="2"/>
          <w:sz w:val="32"/>
          <w:szCs w:val="32"/>
          <w:highlight w:val="none"/>
          <w:lang w:val="en-US" w:eastAsia="zh-CN"/>
        </w:rPr>
        <w:t>授课人员酬金</w:t>
      </w:r>
      <w:r>
        <w:rPr>
          <w:rFonts w:hint="eastAsia" w:ascii="仿宋_GB2312" w:hAnsi="仿宋_GB2312" w:eastAsia="仿宋_GB2312" w:cs="仿宋_GB2312"/>
          <w:color w:val="auto"/>
          <w:kern w:val="2"/>
          <w:sz w:val="32"/>
          <w:szCs w:val="32"/>
          <w:lang w:val="en-US" w:eastAsia="zh-CN"/>
        </w:rPr>
        <w:t>按实际发生的学时计算，每半天最多按4学时计算</w:t>
      </w:r>
      <w:bookmarkStart w:id="10" w:name="OLE_LINK114"/>
      <w:r>
        <w:rPr>
          <w:rFonts w:hint="eastAsia" w:ascii="仿宋_GB2312" w:hAnsi="仿宋_GB2312" w:eastAsia="仿宋_GB2312" w:cs="仿宋_GB2312"/>
          <w:color w:val="auto"/>
          <w:kern w:val="2"/>
          <w:sz w:val="32"/>
          <w:szCs w:val="32"/>
          <w:highlight w:val="none"/>
          <w:lang w:val="en-US" w:eastAsia="zh-CN"/>
        </w:rPr>
        <w:t>（每学时不得低于45分钟）</w:t>
      </w:r>
      <w:bookmarkEnd w:id="10"/>
      <w:r>
        <w:rPr>
          <w:rFonts w:hint="eastAsia" w:ascii="仿宋_GB2312" w:hAnsi="仿宋_GB2312" w:eastAsia="仿宋_GB2312" w:cs="仿宋_GB2312"/>
          <w:color w:val="auto"/>
          <w:kern w:val="2"/>
          <w:sz w:val="32"/>
          <w:szCs w:val="32"/>
          <w:highlight w:val="none"/>
          <w:lang w:val="en-US" w:eastAsia="zh-CN"/>
        </w:rPr>
        <w:t>。</w:t>
      </w:r>
      <w:bookmarkStart w:id="11" w:name="OLE_LINK10"/>
    </w:p>
    <w:bookmarkEnd w:id="6"/>
    <w:p w14:paraId="5AF79F25">
      <w:pPr>
        <w:pStyle w:val="3"/>
        <w:keepNext w:val="0"/>
        <w:keepLines w:val="0"/>
        <w:pageBreakBefore w:val="0"/>
        <w:widowControl/>
        <w:kinsoku/>
        <w:wordWrap/>
        <w:overflowPunct/>
        <w:topLinePunct w:val="0"/>
        <w:autoSpaceDE/>
        <w:autoSpaceDN/>
        <w:bidi w:val="0"/>
        <w:adjustRightInd/>
        <w:snapToGrid/>
        <w:spacing w:line="576" w:lineRule="exact"/>
        <w:ind w:left="0" w:leftChars="0" w:firstLine="601" w:firstLineChars="0"/>
        <w:jc w:val="left"/>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b/>
          <w:bCs/>
          <w:color w:val="auto"/>
          <w:kern w:val="2"/>
          <w:sz w:val="32"/>
          <w:szCs w:val="32"/>
          <w:highlight w:val="none"/>
          <w:lang w:val="en-US" w:eastAsia="zh-CN"/>
        </w:rPr>
        <w:t>培训形式为内部培训的，</w:t>
      </w:r>
      <w:r>
        <w:rPr>
          <w:rFonts w:hint="eastAsia" w:ascii="仿宋_GB2312" w:hAnsi="仿宋_GB2312" w:eastAsia="仿宋_GB2312" w:cs="仿宋_GB2312"/>
          <w:color w:val="auto"/>
          <w:kern w:val="2"/>
          <w:sz w:val="32"/>
          <w:szCs w:val="32"/>
          <w:highlight w:val="none"/>
          <w:lang w:val="en-US" w:eastAsia="zh-CN"/>
        </w:rPr>
        <w:t>邀请的授课老师城市间交通费、住宿费、伙食费按照《茅台学院差旅费管理办法》相关标准执行，纳入相应的教育培训项目在工会经费中列支。</w:t>
      </w:r>
      <w:bookmarkEnd w:id="11"/>
    </w:p>
    <w:p w14:paraId="5F311744">
      <w:pPr>
        <w:pStyle w:val="3"/>
        <w:keepNext w:val="0"/>
        <w:keepLines w:val="0"/>
        <w:pageBreakBefore w:val="0"/>
        <w:widowControl/>
        <w:kinsoku/>
        <w:wordWrap/>
        <w:overflowPunct/>
        <w:topLinePunct w:val="0"/>
        <w:autoSpaceDE/>
        <w:autoSpaceDN/>
        <w:bidi w:val="0"/>
        <w:adjustRightInd/>
        <w:snapToGrid/>
        <w:spacing w:line="576" w:lineRule="exact"/>
        <w:ind w:left="0" w:leftChars="0" w:firstLine="601" w:firstLineChars="0"/>
        <w:jc w:val="left"/>
        <w:textAlignment w:val="auto"/>
        <w:rPr>
          <w:rFonts w:hint="default" w:ascii="仿宋_GB2312" w:hAnsi="仿宋_GB2312" w:eastAsia="仿宋_GB2312" w:cs="仿宋_GB2312"/>
          <w:color w:val="auto"/>
          <w:kern w:val="2"/>
          <w:sz w:val="32"/>
          <w:szCs w:val="32"/>
          <w:highlight w:val="none"/>
          <w:lang w:val="en-US" w:eastAsia="zh-CN" w:bidi="ar-SA"/>
        </w:rPr>
      </w:pPr>
      <w:bookmarkStart w:id="12" w:name="OLE_LINK94"/>
      <w:bookmarkStart w:id="13" w:name="OLE_LINK24"/>
      <w:r>
        <w:rPr>
          <w:rFonts w:hint="eastAsia" w:ascii="仿宋_GB2312" w:hAnsi="仿宋_GB2312" w:eastAsia="仿宋_GB2312" w:cs="仿宋_GB2312"/>
          <w:b w:val="0"/>
          <w:bCs w:val="0"/>
          <w:color w:val="auto"/>
          <w:kern w:val="2"/>
          <w:sz w:val="32"/>
          <w:szCs w:val="32"/>
          <w:highlight w:val="none"/>
          <w:lang w:val="en-US" w:eastAsia="zh-CN" w:bidi="ar-SA"/>
        </w:rPr>
        <w:t>（2）</w:t>
      </w:r>
      <w:r>
        <w:rPr>
          <w:rFonts w:hint="eastAsia" w:ascii="仿宋_GB2312" w:hAnsi="仿宋_GB2312" w:eastAsia="仿宋_GB2312" w:cs="仿宋_GB2312"/>
          <w:b w:val="0"/>
          <w:bCs w:val="0"/>
          <w:color w:val="auto"/>
          <w:kern w:val="2"/>
          <w:sz w:val="32"/>
          <w:szCs w:val="32"/>
          <w:highlight w:val="none"/>
          <w:lang w:val="en-US" w:eastAsia="zh-CN"/>
        </w:rPr>
        <w:t>参照《贵州省省级党政机关培训费管理办法》相关规定，</w:t>
      </w:r>
      <w:r>
        <w:rPr>
          <w:rFonts w:hint="eastAsia" w:ascii="仿宋_GB2312" w:hAnsi="仿宋_GB2312" w:eastAsia="仿宋_GB2312" w:cs="仿宋_GB2312"/>
          <w:b w:val="0"/>
          <w:bCs w:val="0"/>
          <w:color w:val="auto"/>
          <w:kern w:val="2"/>
          <w:sz w:val="32"/>
          <w:szCs w:val="32"/>
          <w:highlight w:val="none"/>
          <w:lang w:val="en-US" w:eastAsia="zh-CN" w:bidi="ar-SA"/>
        </w:rPr>
        <w:t>培训费</w:t>
      </w:r>
      <w:r>
        <w:rPr>
          <w:rFonts w:hint="eastAsia" w:ascii="仿宋_GB2312" w:hAnsi="仿宋_GB2312" w:eastAsia="仿宋_GB2312" w:cs="仿宋_GB2312"/>
          <w:b w:val="0"/>
          <w:bCs w:val="0"/>
          <w:color w:val="auto"/>
          <w:kern w:val="2"/>
          <w:sz w:val="32"/>
          <w:szCs w:val="32"/>
          <w:highlight w:val="none"/>
          <w:lang w:val="en-US" w:eastAsia="zh-CN"/>
        </w:rPr>
        <w:t>按以下标准执行</w:t>
      </w:r>
      <w:r>
        <w:rPr>
          <w:rFonts w:hint="eastAsia" w:ascii="仿宋_GB2312" w:hAnsi="仿宋_GB2312" w:eastAsia="仿宋_GB2312" w:cs="仿宋_GB2312"/>
          <w:b w:val="0"/>
          <w:bCs w:val="0"/>
          <w:color w:val="auto"/>
          <w:kern w:val="2"/>
          <w:sz w:val="32"/>
          <w:szCs w:val="32"/>
          <w:highlight w:val="none"/>
          <w:lang w:val="en-US" w:eastAsia="zh-CN" w:bidi="ar-SA"/>
        </w:rPr>
        <w:t>：</w:t>
      </w:r>
      <w:bookmarkEnd w:id="12"/>
      <w:r>
        <w:rPr>
          <w:rFonts w:hint="eastAsia" w:ascii="仿宋_GB2312" w:hAnsi="仿宋_GB2312" w:eastAsia="仿宋_GB2312" w:cs="仿宋_GB2312"/>
          <w:b/>
          <w:bCs/>
          <w:color w:val="auto"/>
          <w:kern w:val="2"/>
          <w:sz w:val="32"/>
          <w:szCs w:val="32"/>
          <w:highlight w:val="none"/>
          <w:lang w:val="en-US" w:eastAsia="zh-CN" w:bidi="ar-SA"/>
        </w:rPr>
        <w:t>培训形式为内部培训或送外培训的，</w:t>
      </w:r>
      <w:r>
        <w:rPr>
          <w:rFonts w:hint="eastAsia" w:ascii="仿宋_GB2312" w:hAnsi="仿宋_GB2312" w:eastAsia="仿宋_GB2312" w:cs="仿宋_GB2312"/>
          <w:color w:val="auto"/>
          <w:kern w:val="2"/>
          <w:sz w:val="32"/>
          <w:szCs w:val="32"/>
          <w:highlight w:val="none"/>
          <w:lang w:val="en-US" w:eastAsia="zh-CN" w:bidi="ar-SA"/>
        </w:rPr>
        <w:t>开展培训所发生的各项费用支出，包括师资费、</w:t>
      </w:r>
      <w:bookmarkStart w:id="14" w:name="OLE_LINK7"/>
      <w:r>
        <w:rPr>
          <w:rFonts w:hint="eastAsia" w:ascii="仿宋_GB2312" w:hAnsi="仿宋_GB2312" w:eastAsia="仿宋_GB2312" w:cs="仿宋_GB2312"/>
          <w:color w:val="auto"/>
          <w:kern w:val="2"/>
          <w:sz w:val="32"/>
          <w:szCs w:val="32"/>
          <w:highlight w:val="none"/>
          <w:lang w:val="en-US" w:eastAsia="zh-CN" w:bidi="ar-SA"/>
        </w:rPr>
        <w:t>住宿费、伙食费</w:t>
      </w:r>
      <w:bookmarkEnd w:id="14"/>
      <w:r>
        <w:rPr>
          <w:rFonts w:hint="eastAsia" w:ascii="仿宋_GB2312" w:hAnsi="仿宋_GB2312" w:eastAsia="仿宋_GB2312" w:cs="仿宋_GB2312"/>
          <w:color w:val="auto"/>
          <w:kern w:val="2"/>
          <w:sz w:val="32"/>
          <w:szCs w:val="32"/>
          <w:highlight w:val="none"/>
          <w:lang w:val="en-US" w:eastAsia="zh-CN" w:bidi="ar-SA"/>
        </w:rPr>
        <w:t>、培训场地费、培训资料费、培训期间交通费以及其他费用等，</w:t>
      </w:r>
      <w:r>
        <w:rPr>
          <w:rFonts w:hint="eastAsia" w:ascii="仿宋_GB2312" w:hAnsi="仿宋_GB2312" w:eastAsia="仿宋_GB2312" w:cs="仿宋_GB2312"/>
          <w:b/>
          <w:bCs/>
          <w:color w:val="auto"/>
          <w:kern w:val="2"/>
          <w:sz w:val="32"/>
          <w:szCs w:val="32"/>
          <w:highlight w:val="none"/>
          <w:lang w:val="en-US" w:eastAsia="zh-CN" w:bidi="ar-SA"/>
        </w:rPr>
        <w:t>除师资费参照上述授课人员酬金标准执行外，</w:t>
      </w:r>
      <w:r>
        <w:rPr>
          <w:rFonts w:hint="eastAsia" w:ascii="仿宋_GB2312" w:hAnsi="仿宋_GB2312" w:eastAsia="仿宋_GB2312" w:cs="仿宋_GB2312"/>
          <w:color w:val="auto"/>
          <w:kern w:val="2"/>
          <w:sz w:val="32"/>
          <w:szCs w:val="32"/>
          <w:highlight w:val="none"/>
          <w:lang w:val="en-US" w:eastAsia="zh-CN" w:bidi="ar-SA"/>
        </w:rPr>
        <w:t>培训费实行分类综合定额标准，分项核定、总额控制，各项费用之间可以调剂使用，综合定额标准为每人每天450元。</w:t>
      </w:r>
    </w:p>
    <w:bookmarkEnd w:id="7"/>
    <w:p w14:paraId="07BF61D2">
      <w:pPr>
        <w:pStyle w:val="3"/>
        <w:keepNext w:val="0"/>
        <w:keepLines w:val="0"/>
        <w:pageBreakBefore w:val="0"/>
        <w:widowControl/>
        <w:kinsoku/>
        <w:wordWrap/>
        <w:overflowPunct/>
        <w:topLinePunct w:val="0"/>
        <w:autoSpaceDE/>
        <w:autoSpaceDN/>
        <w:bidi w:val="0"/>
        <w:adjustRightInd/>
        <w:snapToGrid/>
        <w:spacing w:line="576" w:lineRule="exact"/>
        <w:ind w:left="0" w:leftChars="0" w:firstLine="601" w:firstLineChars="0"/>
        <w:jc w:val="left"/>
        <w:textAlignment w:val="auto"/>
        <w:rPr>
          <w:rFonts w:hint="eastAsia" w:ascii="仿宋_GB2312" w:hAnsi="仿宋_GB2312" w:eastAsia="仿宋_GB2312" w:cs="仿宋_GB2312"/>
          <w:color w:val="auto"/>
          <w:kern w:val="2"/>
          <w:sz w:val="32"/>
          <w:szCs w:val="32"/>
          <w:highlight w:val="yellow"/>
          <w:lang w:val="en-US" w:eastAsia="zh-CN" w:bidi="ar-SA"/>
        </w:rPr>
      </w:pPr>
      <w:bookmarkStart w:id="15" w:name="OLE_LINK81"/>
      <w:bookmarkStart w:id="16" w:name="OLE_LINK95"/>
      <w:r>
        <w:rPr>
          <w:rFonts w:hint="eastAsia" w:ascii="仿宋_GB2312" w:hAnsi="仿宋_GB2312" w:eastAsia="仿宋_GB2312" w:cs="仿宋_GB2312"/>
          <w:b w:val="0"/>
          <w:bCs w:val="0"/>
          <w:color w:val="auto"/>
          <w:kern w:val="2"/>
          <w:sz w:val="32"/>
          <w:szCs w:val="32"/>
          <w:highlight w:val="none"/>
          <w:lang w:val="en-US" w:eastAsia="zh-CN" w:bidi="ar-SA"/>
        </w:rPr>
        <w:t>4.培训形式为送外培训的，培训人员的往返城市间交通及往返当日市内交通费、伙食费按照</w:t>
      </w:r>
      <w:bookmarkStart w:id="17" w:name="OLE_LINK92"/>
      <w:r>
        <w:rPr>
          <w:rFonts w:hint="eastAsia" w:ascii="仿宋_GB2312" w:hAnsi="仿宋_GB2312" w:eastAsia="仿宋_GB2312" w:cs="仿宋_GB2312"/>
          <w:color w:val="auto"/>
          <w:kern w:val="2"/>
          <w:sz w:val="32"/>
          <w:szCs w:val="32"/>
          <w:highlight w:val="none"/>
          <w:lang w:val="en-US" w:eastAsia="zh-CN"/>
        </w:rPr>
        <w:t>《茅台学院差旅费管理办法》</w:t>
      </w:r>
      <w:r>
        <w:rPr>
          <w:rFonts w:hint="eastAsia" w:ascii="仿宋_GB2312" w:hAnsi="仿宋_GB2312" w:eastAsia="仿宋_GB2312" w:cs="仿宋_GB2312"/>
          <w:b w:val="0"/>
          <w:bCs w:val="0"/>
          <w:color w:val="auto"/>
          <w:kern w:val="2"/>
          <w:sz w:val="32"/>
          <w:szCs w:val="32"/>
          <w:highlight w:val="none"/>
          <w:lang w:val="en-US" w:eastAsia="zh-CN"/>
        </w:rPr>
        <w:t>《集团公司员工教育培训管理办法》</w:t>
      </w:r>
      <w:r>
        <w:rPr>
          <w:rFonts w:hint="eastAsia" w:ascii="仿宋_GB2312" w:hAnsi="仿宋_GB2312" w:eastAsia="仿宋_GB2312" w:cs="仿宋_GB2312"/>
          <w:b w:val="0"/>
          <w:bCs w:val="0"/>
          <w:color w:val="auto"/>
          <w:kern w:val="2"/>
          <w:sz w:val="32"/>
          <w:szCs w:val="32"/>
          <w:highlight w:val="none"/>
          <w:lang w:val="en-US" w:eastAsia="zh-CN" w:bidi="ar-SA"/>
        </w:rPr>
        <w:t>相关标准执行</w:t>
      </w:r>
      <w:bookmarkEnd w:id="15"/>
      <w:r>
        <w:rPr>
          <w:rFonts w:hint="eastAsia" w:ascii="仿宋_GB2312" w:hAnsi="仿宋_GB2312" w:eastAsia="仿宋_GB2312" w:cs="仿宋_GB2312"/>
          <w:b w:val="0"/>
          <w:bCs w:val="0"/>
          <w:color w:val="auto"/>
          <w:kern w:val="2"/>
          <w:sz w:val="32"/>
          <w:szCs w:val="32"/>
          <w:highlight w:val="none"/>
          <w:lang w:val="en-US" w:eastAsia="zh-CN" w:bidi="ar-SA"/>
        </w:rPr>
        <w:t>。</w:t>
      </w:r>
    </w:p>
    <w:bookmarkEnd w:id="13"/>
    <w:bookmarkEnd w:id="16"/>
    <w:bookmarkEnd w:id="17"/>
    <w:p w14:paraId="52582AC3">
      <w:pPr>
        <w:pStyle w:val="7"/>
        <w:keepNext w:val="0"/>
        <w:keepLines w:val="0"/>
        <w:pageBreakBefore w:val="0"/>
        <w:numPr>
          <w:ilvl w:val="0"/>
          <w:numId w:val="0"/>
        </w:numPr>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（二）</w:t>
      </w:r>
      <w:r>
        <w:rPr>
          <w:rFonts w:hint="eastAsia" w:ascii="楷体_GB2312" w:hAnsi="楷体_GB2312" w:eastAsia="楷体_GB2312" w:cs="楷体_GB2312"/>
          <w:color w:val="auto"/>
          <w:kern w:val="2"/>
          <w:sz w:val="32"/>
          <w:szCs w:val="32"/>
          <w:lang w:val="en-US" w:eastAsia="zh-CN" w:bidi="ar-SA"/>
        </w:rPr>
        <w:t>文体活动支出。</w:t>
      </w:r>
      <w:r>
        <w:rPr>
          <w:rFonts w:hint="eastAsia" w:ascii="仿宋_GB2312" w:hAnsi="仿宋_GB2312" w:eastAsia="仿宋_GB2312" w:cs="仿宋_GB2312"/>
          <w:color w:val="auto"/>
          <w:kern w:val="2"/>
          <w:sz w:val="32"/>
          <w:szCs w:val="32"/>
          <w:lang w:val="en-US" w:eastAsia="zh-CN" w:bidi="ar-SA"/>
        </w:rPr>
        <w:t>用于学校工会开展或参加上级工会组织的教职工文体活动所需器材、服装、用品等购置、租赁与维修方面的支出以及活动场地、交通工具的租金、保险</w:t>
      </w:r>
      <w:r>
        <w:rPr>
          <w:rFonts w:hint="eastAsia" w:ascii="仿宋_GB2312" w:hAnsi="仿宋_GB2312" w:eastAsia="仿宋_GB2312" w:cs="仿宋_GB2312"/>
          <w:color w:val="auto"/>
          <w:kern w:val="2"/>
          <w:sz w:val="32"/>
          <w:szCs w:val="32"/>
          <w:highlight w:val="none"/>
          <w:lang w:val="en-US" w:eastAsia="zh-CN" w:bidi="ar-SA"/>
        </w:rPr>
        <w:t>及购买劳务服务等支出；用于文体活动优胜者的奖励支</w:t>
      </w:r>
      <w:r>
        <w:rPr>
          <w:rFonts w:hint="eastAsia" w:ascii="仿宋_GB2312" w:hAnsi="仿宋_GB2312" w:eastAsia="仿宋_GB2312" w:cs="仿宋_GB2312"/>
          <w:color w:val="auto"/>
          <w:kern w:val="2"/>
          <w:sz w:val="32"/>
          <w:szCs w:val="32"/>
          <w:lang w:val="en-US" w:eastAsia="zh-CN" w:bidi="ar-SA"/>
        </w:rPr>
        <w:t>出；用于文体活动中必要的工作餐补助。</w:t>
      </w:r>
    </w:p>
    <w:p w14:paraId="319DD814">
      <w:pPr>
        <w:pStyle w:val="7"/>
        <w:keepNext w:val="0"/>
        <w:keepLines w:val="0"/>
        <w:pageBreakBefore w:val="0"/>
        <w:numPr>
          <w:ilvl w:val="0"/>
          <w:numId w:val="0"/>
        </w:numPr>
        <w:kinsoku/>
        <w:wordWrap/>
        <w:overflowPunct/>
        <w:topLinePunct w:val="0"/>
        <w:autoSpaceDE/>
        <w:autoSpaceDN/>
        <w:bidi w:val="0"/>
        <w:adjustRightInd/>
        <w:snapToGrid/>
        <w:spacing w:line="576" w:lineRule="exact"/>
        <w:ind w:firstLine="640" w:firstLineChars="200"/>
        <w:jc w:val="both"/>
        <w:textAlignment w:val="auto"/>
        <w:outlineLvl w:val="0"/>
        <w:rPr>
          <w:rFonts w:hint="eastAsia" w:ascii="仿宋_GB2312" w:hAnsi="仿宋_GB2312" w:eastAsia="仿宋_GB2312" w:cs="仿宋_GB2312"/>
          <w:b/>
          <w:bCs/>
          <w:color w:val="auto"/>
          <w:kern w:val="2"/>
          <w:sz w:val="32"/>
          <w:szCs w:val="32"/>
          <w:highlight w:val="yellow"/>
          <w:lang w:val="en-US" w:eastAsia="zh-CN" w:bidi="ar-SA"/>
        </w:rPr>
      </w:pPr>
      <w:r>
        <w:rPr>
          <w:rFonts w:hint="eastAsia" w:ascii="仿宋_GB2312" w:hAnsi="仿宋_GB2312" w:eastAsia="仿宋_GB2312" w:cs="仿宋_GB2312"/>
          <w:color w:val="auto"/>
          <w:kern w:val="2"/>
          <w:sz w:val="32"/>
          <w:szCs w:val="32"/>
          <w:lang w:val="en-US" w:eastAsia="zh-CN" w:bidi="ar-SA"/>
        </w:rPr>
        <w:t>1.奖励设置及标准：文体比赛活动奖励应以精神鼓励为主、物质激励为辅，需评奖并发奖励的比赛活动每年举办不超过三次，分工会(工会小组)可作为独立的工会计算举办次数。工会文体活动要紧紧围绕单位和工会工作大局，服务单位和教职工。实行谁举办谁奖励</w:t>
      </w:r>
      <w:r>
        <w:rPr>
          <w:rFonts w:hint="eastAsia" w:ascii="仿宋_GB2312" w:hAnsi="仿宋_GB2312" w:eastAsia="仿宋_GB2312" w:cs="仿宋_GB2312"/>
          <w:color w:val="auto"/>
          <w:kern w:val="2"/>
          <w:sz w:val="32"/>
          <w:szCs w:val="32"/>
          <w:highlight w:val="none"/>
          <w:lang w:val="en-US" w:eastAsia="zh-CN" w:bidi="ar-SA"/>
        </w:rPr>
        <w:t>的原则，每次举办比赛奖励范围不得超过参赛人数的三分之二。</w:t>
      </w:r>
      <w:bookmarkStart w:id="18" w:name="OLE_LINK100"/>
      <w:r>
        <w:rPr>
          <w:rFonts w:hint="eastAsia" w:ascii="仿宋_GB2312" w:hAnsi="仿宋_GB2312" w:eastAsia="仿宋_GB2312" w:cs="仿宋_GB2312"/>
          <w:color w:val="auto"/>
          <w:kern w:val="2"/>
          <w:sz w:val="32"/>
          <w:szCs w:val="32"/>
          <w:highlight w:val="none"/>
          <w:lang w:val="en-US" w:eastAsia="zh-CN" w:bidi="ar-SA"/>
        </w:rPr>
        <w:t>奖金(品)标准</w:t>
      </w:r>
      <w:bookmarkEnd w:id="18"/>
      <w:r>
        <w:rPr>
          <w:rFonts w:hint="eastAsia" w:ascii="仿宋_GB2312" w:hAnsi="仿宋_GB2312" w:eastAsia="仿宋_GB2312" w:cs="仿宋_GB2312"/>
          <w:color w:val="auto"/>
          <w:kern w:val="2"/>
          <w:sz w:val="32"/>
          <w:szCs w:val="32"/>
          <w:highlight w:val="none"/>
          <w:lang w:val="en-US" w:eastAsia="zh-CN" w:bidi="ar-SA"/>
        </w:rPr>
        <w:t>:一等奖人均不超过400元，二等奖人均不超过300元，三等奖人均不超过200元。可根据活动开展需要设置组织奖、参与奖、优秀奖和鼓励奖，不得发放奖金等物质奖励</w:t>
      </w:r>
      <w:r>
        <w:rPr>
          <w:rFonts w:hint="eastAsia" w:ascii="仿宋_GB2312" w:hAnsi="仿宋_GB2312" w:eastAsia="仿宋_GB2312" w:cs="仿宋_GB2312"/>
          <w:color w:val="auto"/>
          <w:sz w:val="32"/>
          <w:szCs w:val="32"/>
          <w:lang w:val="en-US" w:eastAsia="zh-CN"/>
        </w:rPr>
        <w:t>。</w:t>
      </w:r>
    </w:p>
    <w:p w14:paraId="11C50AD7">
      <w:pPr>
        <w:pStyle w:val="7"/>
        <w:keepNext w:val="0"/>
        <w:keepLines w:val="0"/>
        <w:pageBreakBefore w:val="0"/>
        <w:numPr>
          <w:ilvl w:val="0"/>
          <w:numId w:val="0"/>
        </w:numPr>
        <w:kinsoku/>
        <w:wordWrap/>
        <w:overflowPunct/>
        <w:topLinePunct w:val="0"/>
        <w:autoSpaceDE/>
        <w:autoSpaceDN/>
        <w:bidi w:val="0"/>
        <w:adjustRightInd/>
        <w:snapToGrid/>
        <w:spacing w:line="576" w:lineRule="exact"/>
        <w:ind w:firstLine="640" w:firstLineChars="200"/>
        <w:jc w:val="both"/>
        <w:textAlignment w:val="auto"/>
        <w:outlineLvl w:val="0"/>
        <w:rPr>
          <w:rFonts w:hint="eastAsia" w:ascii="仿宋_GB2312" w:hAnsi="仿宋_GB2312" w:eastAsia="仿宋_GB2312" w:cs="仿宋_GB2312"/>
          <w:color w:val="auto"/>
          <w:kern w:val="2"/>
          <w:sz w:val="32"/>
          <w:szCs w:val="32"/>
          <w:highlight w:val="none"/>
          <w:lang w:val="en-US" w:eastAsia="zh-CN" w:bidi="ar-SA"/>
        </w:rPr>
      </w:pPr>
      <w:bookmarkStart w:id="19" w:name="OLE_LINK99"/>
      <w:r>
        <w:rPr>
          <w:rFonts w:hint="eastAsia" w:ascii="仿宋_GB2312" w:hAnsi="仿宋_GB2312" w:eastAsia="仿宋_GB2312" w:cs="仿宋_GB2312"/>
          <w:color w:val="auto"/>
          <w:kern w:val="2"/>
          <w:sz w:val="32"/>
          <w:szCs w:val="32"/>
          <w:lang w:val="en-US" w:eastAsia="zh-CN" w:bidi="ar-SA"/>
        </w:rPr>
        <w:t>2.不设置奖项的趣味性文体活动，可为参加人员发放人均不超过100元的纪念品</w:t>
      </w:r>
      <w:r>
        <w:rPr>
          <w:rFonts w:hint="eastAsia" w:ascii="仿宋_GB2312" w:hAnsi="仿宋_GB2312" w:eastAsia="仿宋_GB2312" w:cs="仿宋_GB2312"/>
          <w:color w:val="auto"/>
          <w:kern w:val="2"/>
          <w:sz w:val="32"/>
          <w:szCs w:val="32"/>
          <w:highlight w:val="none"/>
          <w:lang w:val="en-US" w:eastAsia="zh-CN" w:bidi="ar-SA"/>
        </w:rPr>
        <w:t>。</w:t>
      </w:r>
    </w:p>
    <w:bookmarkEnd w:id="19"/>
    <w:p w14:paraId="319FC8F5">
      <w:pPr>
        <w:pStyle w:val="7"/>
        <w:keepNext w:val="0"/>
        <w:keepLines w:val="0"/>
        <w:pageBreakBefore w:val="0"/>
        <w:numPr>
          <w:ilvl w:val="0"/>
          <w:numId w:val="0"/>
        </w:numPr>
        <w:kinsoku/>
        <w:wordWrap/>
        <w:overflowPunct/>
        <w:topLinePunct w:val="0"/>
        <w:autoSpaceDE/>
        <w:autoSpaceDN/>
        <w:bidi w:val="0"/>
        <w:adjustRightInd/>
        <w:snapToGrid/>
        <w:spacing w:line="576" w:lineRule="exact"/>
        <w:ind w:firstLine="640" w:firstLineChars="200"/>
        <w:jc w:val="both"/>
        <w:textAlignment w:val="auto"/>
        <w:outlineLvl w:val="0"/>
        <w:rPr>
          <w:rFonts w:hint="eastAsia" w:ascii="仿宋_GB2312" w:hAnsi="仿宋_GB2312" w:eastAsia="仿宋_GB2312" w:cs="仿宋_GB2312"/>
          <w:b w:val="0"/>
          <w:bCs w:val="0"/>
          <w:color w:val="auto"/>
          <w:kern w:val="2"/>
          <w:sz w:val="32"/>
          <w:szCs w:val="22"/>
          <w:highlight w:val="none"/>
          <w:lang w:val="en-US" w:eastAsia="zh-CN" w:bidi="ar-SA"/>
        </w:rPr>
      </w:pPr>
      <w:bookmarkStart w:id="20" w:name="OLE_LINK26"/>
      <w:r>
        <w:rPr>
          <w:rFonts w:hint="eastAsia" w:ascii="仿宋_GB2312" w:hAnsi="仿宋_GB2312" w:eastAsia="仿宋_GB2312" w:cs="仿宋_GB2312"/>
          <w:color w:val="auto"/>
          <w:kern w:val="2"/>
          <w:sz w:val="32"/>
          <w:szCs w:val="22"/>
          <w:lang w:val="en-US" w:eastAsia="zh-CN" w:bidi="ar-SA"/>
        </w:rPr>
        <w:t>3.</w:t>
      </w:r>
      <w:bookmarkStart w:id="21" w:name="OLE_LINK104"/>
      <w:r>
        <w:rPr>
          <w:rFonts w:hint="eastAsia" w:ascii="仿宋_GB2312" w:hAnsi="仿宋_GB2312" w:eastAsia="仿宋_GB2312" w:cs="仿宋_GB2312"/>
          <w:color w:val="auto"/>
          <w:kern w:val="2"/>
          <w:sz w:val="32"/>
          <w:szCs w:val="22"/>
          <w:lang w:val="en-US" w:eastAsia="zh-CN" w:bidi="ar-SA"/>
        </w:rPr>
        <w:t>学校工会组织开展的文体活动比赛，如有统一着装要求，</w:t>
      </w:r>
      <w:bookmarkStart w:id="22" w:name="OLE_LINK74"/>
      <w:r>
        <w:rPr>
          <w:rFonts w:hint="eastAsia" w:ascii="仿宋_GB2312" w:hAnsi="仿宋_GB2312" w:eastAsia="仿宋_GB2312" w:cs="仿宋_GB2312"/>
          <w:color w:val="auto"/>
          <w:kern w:val="2"/>
          <w:sz w:val="32"/>
          <w:szCs w:val="22"/>
          <w:lang w:val="en-US" w:eastAsia="zh-CN" w:bidi="ar-SA"/>
        </w:rPr>
        <w:t>可为参赛人员（含裁判、领队、</w:t>
      </w:r>
      <w:bookmarkStart w:id="23" w:name="OLE_LINK75"/>
      <w:r>
        <w:rPr>
          <w:rFonts w:hint="eastAsia" w:ascii="仿宋_GB2312" w:hAnsi="仿宋_GB2312" w:eastAsia="仿宋_GB2312" w:cs="仿宋_GB2312"/>
          <w:b w:val="0"/>
          <w:bCs w:val="0"/>
          <w:color w:val="auto"/>
          <w:kern w:val="2"/>
          <w:sz w:val="32"/>
          <w:szCs w:val="22"/>
          <w:highlight w:val="none"/>
          <w:lang w:val="en-US" w:eastAsia="zh-CN" w:bidi="ar-SA"/>
        </w:rPr>
        <w:t>工作人员</w:t>
      </w:r>
      <w:bookmarkEnd w:id="23"/>
      <w:r>
        <w:rPr>
          <w:rFonts w:hint="eastAsia" w:ascii="仿宋_GB2312" w:hAnsi="仿宋_GB2312" w:eastAsia="仿宋_GB2312" w:cs="仿宋_GB2312"/>
          <w:color w:val="auto"/>
          <w:kern w:val="2"/>
          <w:sz w:val="32"/>
          <w:szCs w:val="22"/>
          <w:lang w:val="en-US" w:eastAsia="zh-CN" w:bidi="ar-SA"/>
        </w:rPr>
        <w:t>）购买服装（含鞋子），</w:t>
      </w:r>
      <w:bookmarkEnd w:id="22"/>
      <w:r>
        <w:rPr>
          <w:rFonts w:hint="eastAsia" w:ascii="仿宋_GB2312" w:hAnsi="仿宋_GB2312" w:eastAsia="仿宋_GB2312" w:cs="仿宋_GB2312"/>
          <w:color w:val="auto"/>
          <w:kern w:val="2"/>
          <w:sz w:val="32"/>
          <w:szCs w:val="22"/>
          <w:lang w:val="en-US" w:eastAsia="zh-CN" w:bidi="ar-SA"/>
        </w:rPr>
        <w:t>人均不超过60</w:t>
      </w:r>
      <w:r>
        <w:rPr>
          <w:rFonts w:hint="eastAsia" w:ascii="仿宋_GB2312" w:hAnsi="仿宋_GB2312" w:eastAsia="仿宋_GB2312" w:cs="仿宋_GB2312"/>
          <w:color w:val="auto"/>
          <w:kern w:val="2"/>
          <w:sz w:val="32"/>
          <w:szCs w:val="22"/>
          <w:highlight w:val="none"/>
          <w:lang w:val="en-US" w:eastAsia="zh-CN" w:bidi="ar-SA"/>
        </w:rPr>
        <w:t>0元，同类项目每人每两年限购一次，参加上级工会举办的文体活动比赛的参赛人员当年可增购一次；</w:t>
      </w:r>
      <w:r>
        <w:rPr>
          <w:rFonts w:hint="eastAsia" w:ascii="仿宋_GB2312" w:hAnsi="仿宋_GB2312" w:eastAsia="仿宋_GB2312" w:cs="仿宋_GB2312"/>
          <w:color w:val="auto"/>
          <w:kern w:val="2"/>
          <w:sz w:val="32"/>
          <w:szCs w:val="32"/>
          <w:highlight w:val="none"/>
          <w:lang w:val="en-US" w:eastAsia="zh-CN" w:bidi="ar-SA"/>
        </w:rPr>
        <w:t>工会小组组织开展的日常文体比赛活动，确有需要统一服装的，可按人均不超过300元的标准</w:t>
      </w:r>
      <w:r>
        <w:rPr>
          <w:rFonts w:hint="eastAsia" w:ascii="仿宋_GB2312" w:hAnsi="仿宋_GB2312" w:eastAsia="仿宋_GB2312" w:cs="仿宋_GB2312"/>
          <w:color w:val="auto"/>
          <w:kern w:val="2"/>
          <w:sz w:val="32"/>
          <w:szCs w:val="22"/>
          <w:highlight w:val="none"/>
          <w:lang w:val="en-US" w:eastAsia="zh-CN" w:bidi="ar-SA"/>
        </w:rPr>
        <w:t>为参加活动人员购买服装（含鞋子）</w:t>
      </w:r>
      <w:r>
        <w:rPr>
          <w:rFonts w:hint="eastAsia" w:ascii="仿宋_GB2312" w:hAnsi="仿宋_GB2312" w:eastAsia="仿宋_GB2312" w:cs="仿宋_GB2312"/>
          <w:b w:val="0"/>
          <w:bCs w:val="0"/>
          <w:color w:val="auto"/>
          <w:kern w:val="2"/>
          <w:sz w:val="32"/>
          <w:szCs w:val="22"/>
          <w:highlight w:val="none"/>
          <w:lang w:val="en-US" w:eastAsia="zh-CN" w:bidi="ar-SA"/>
        </w:rPr>
        <w:t>。</w:t>
      </w:r>
      <w:bookmarkEnd w:id="20"/>
      <w:bookmarkEnd w:id="21"/>
      <w:bookmarkStart w:id="24" w:name="OLE_LINK31"/>
    </w:p>
    <w:p w14:paraId="30654130">
      <w:pPr>
        <w:pStyle w:val="7"/>
        <w:keepNext w:val="0"/>
        <w:keepLines w:val="0"/>
        <w:pageBreakBefore w:val="0"/>
        <w:numPr>
          <w:ilvl w:val="0"/>
          <w:numId w:val="0"/>
        </w:numPr>
        <w:kinsoku/>
        <w:wordWrap/>
        <w:overflowPunct/>
        <w:topLinePunct w:val="0"/>
        <w:autoSpaceDE/>
        <w:autoSpaceDN/>
        <w:bidi w:val="0"/>
        <w:adjustRightInd/>
        <w:snapToGrid/>
        <w:spacing w:line="576" w:lineRule="exact"/>
        <w:ind w:firstLine="640" w:firstLineChars="200"/>
        <w:jc w:val="both"/>
        <w:textAlignment w:val="auto"/>
        <w:outlineLvl w:val="0"/>
        <w:rPr>
          <w:rFonts w:ascii="仿宋_GB2312" w:hAnsi="仿宋_GB2312" w:eastAsia="仿宋_GB2312" w:cs="仿宋_GB2312"/>
          <w:color w:val="auto"/>
          <w:sz w:val="32"/>
          <w:szCs w:val="32"/>
          <w:lang w:val="en-US" w:eastAsia="zh-CN"/>
        </w:rPr>
      </w:pPr>
      <w:bookmarkStart w:id="25" w:name="OLE_LINK96"/>
      <w:bookmarkStart w:id="26" w:name="OLE_LINK107"/>
      <w:r>
        <w:rPr>
          <w:rFonts w:hint="eastAsia" w:ascii="仿宋_GB2312" w:hAnsi="仿宋_GB2312" w:eastAsia="仿宋_GB2312" w:cs="仿宋_GB2312"/>
          <w:color w:val="auto"/>
          <w:kern w:val="2"/>
          <w:sz w:val="32"/>
          <w:szCs w:val="32"/>
          <w:lang w:val="en-US" w:eastAsia="zh-CN" w:bidi="ar-SA"/>
        </w:rPr>
        <w:t>4.工作餐标准</w:t>
      </w:r>
      <w:r>
        <w:rPr>
          <w:rFonts w:hint="eastAsia" w:ascii="仿宋_GB2312" w:hAnsi="仿宋_GB2312" w:eastAsia="仿宋_GB2312" w:cs="仿宋_GB2312"/>
          <w:color w:val="auto"/>
          <w:kern w:val="2"/>
          <w:sz w:val="32"/>
          <w:szCs w:val="32"/>
          <w:highlight w:val="none"/>
          <w:lang w:val="en-US" w:eastAsia="zh-CN" w:bidi="ar-SA"/>
        </w:rPr>
        <w:t>：学校工会开展文体活动以及在活动排练期间，确需安排工作餐的，</w:t>
      </w:r>
      <w:bookmarkStart w:id="27" w:name="OLE_LINK115"/>
      <w:r>
        <w:rPr>
          <w:rFonts w:hint="eastAsia" w:ascii="仿宋_GB2312" w:hAnsi="仿宋_GB2312" w:eastAsia="仿宋_GB2312" w:cs="仿宋_GB2312"/>
          <w:color w:val="auto"/>
          <w:kern w:val="2"/>
          <w:sz w:val="32"/>
          <w:szCs w:val="32"/>
          <w:highlight w:val="none"/>
          <w:lang w:val="en-US" w:eastAsia="zh-CN" w:bidi="ar-SA"/>
        </w:rPr>
        <w:t>工作餐标准</w:t>
      </w:r>
      <w:bookmarkStart w:id="28" w:name="OLE_LINK101"/>
      <w:bookmarkStart w:id="29" w:name="OLE_LINK23"/>
      <w:r>
        <w:rPr>
          <w:rFonts w:hint="eastAsia" w:ascii="仿宋_GB2312" w:hAnsi="仿宋_GB2312" w:eastAsia="仿宋_GB2312" w:cs="仿宋_GB2312"/>
          <w:color w:val="auto"/>
          <w:kern w:val="2"/>
          <w:sz w:val="32"/>
          <w:szCs w:val="32"/>
          <w:highlight w:val="none"/>
          <w:lang w:val="en-US" w:eastAsia="zh-CN" w:bidi="ar-SA"/>
        </w:rPr>
        <w:t>：早餐不超过20元，中、晚餐每餐不超过40元；</w:t>
      </w:r>
      <w:bookmarkEnd w:id="28"/>
      <w:r>
        <w:rPr>
          <w:rFonts w:hint="eastAsia" w:ascii="仿宋_GB2312" w:hAnsi="仿宋_GB2312" w:eastAsia="仿宋_GB2312" w:cs="仿宋_GB2312"/>
          <w:color w:val="auto"/>
          <w:kern w:val="2"/>
          <w:sz w:val="32"/>
          <w:szCs w:val="32"/>
          <w:highlight w:val="none"/>
          <w:lang w:val="en-US" w:eastAsia="zh-CN" w:bidi="ar-SA"/>
        </w:rPr>
        <w:t>工作餐标准按照活动行程安排以及在学校</w:t>
      </w:r>
      <w:r>
        <w:rPr>
          <w:rFonts w:hint="eastAsia" w:ascii="仿宋_GB2312" w:hAnsi="宋体" w:eastAsia="仿宋_GB2312"/>
          <w:color w:val="auto"/>
          <w:kern w:val="0"/>
          <w:sz w:val="32"/>
          <w:highlight w:val="none"/>
          <w:lang w:val="en-US" w:eastAsia="zh-CN"/>
        </w:rPr>
        <w:t>食堂就餐等情况，按照早、</w:t>
      </w:r>
      <w:r>
        <w:rPr>
          <w:rFonts w:hint="eastAsia" w:ascii="仿宋_GB2312" w:hAnsi="仿宋_GB2312" w:eastAsia="仿宋_GB2312" w:cs="仿宋_GB2312"/>
          <w:color w:val="auto"/>
          <w:kern w:val="2"/>
          <w:sz w:val="32"/>
          <w:szCs w:val="32"/>
          <w:highlight w:val="none"/>
          <w:lang w:val="en-US" w:eastAsia="zh-CN" w:bidi="ar-SA"/>
        </w:rPr>
        <w:t>中、晚餐</w:t>
      </w:r>
      <w:r>
        <w:rPr>
          <w:rFonts w:hint="eastAsia" w:ascii="仿宋_GB2312" w:hAnsi="宋体" w:eastAsia="仿宋_GB2312"/>
          <w:color w:val="auto"/>
          <w:kern w:val="0"/>
          <w:sz w:val="32"/>
          <w:highlight w:val="none"/>
          <w:lang w:val="en-US" w:eastAsia="zh-CN"/>
        </w:rPr>
        <w:t>标准，相应减少工作餐费</w:t>
      </w:r>
      <w:bookmarkEnd w:id="27"/>
      <w:bookmarkEnd w:id="29"/>
      <w:r>
        <w:rPr>
          <w:rFonts w:hint="eastAsia" w:ascii="仿宋_GB2312" w:hAnsi="宋体" w:eastAsia="仿宋_GB2312"/>
          <w:color w:val="auto"/>
          <w:kern w:val="0"/>
          <w:sz w:val="32"/>
          <w:highlight w:val="none"/>
          <w:lang w:val="en-US" w:eastAsia="zh-CN"/>
        </w:rPr>
        <w:t>；</w:t>
      </w:r>
      <w:bookmarkStart w:id="30" w:name="OLE_LINK116"/>
      <w:r>
        <w:rPr>
          <w:rFonts w:hint="eastAsia" w:ascii="仿宋_GB2312" w:hAnsi="仿宋_GB2312" w:eastAsia="仿宋_GB2312" w:cs="仿宋_GB2312"/>
          <w:color w:val="auto"/>
          <w:sz w:val="32"/>
          <w:szCs w:val="32"/>
          <w:highlight w:val="none"/>
          <w:lang w:val="en-US" w:eastAsia="zh-CN"/>
        </w:rPr>
        <w:t>经单位领导批准到外地参加文体比赛活动的，可按照</w:t>
      </w:r>
      <w:r>
        <w:rPr>
          <w:rFonts w:hint="eastAsia" w:ascii="仿宋_GB2312" w:hAnsi="仿宋_GB2312" w:eastAsia="仿宋_GB2312" w:cs="仿宋_GB2312"/>
          <w:color w:val="auto"/>
          <w:kern w:val="2"/>
          <w:sz w:val="32"/>
          <w:szCs w:val="32"/>
          <w:highlight w:val="none"/>
          <w:lang w:val="en-US" w:eastAsia="zh-CN"/>
        </w:rPr>
        <w:t>《茅台学院差旅费管理办法》</w:t>
      </w:r>
      <w:r>
        <w:rPr>
          <w:rFonts w:hint="eastAsia" w:ascii="仿宋_GB2312" w:hAnsi="仿宋_GB2312" w:eastAsia="仿宋_GB2312" w:cs="仿宋_GB2312"/>
          <w:color w:val="auto"/>
          <w:sz w:val="32"/>
          <w:szCs w:val="32"/>
          <w:highlight w:val="none"/>
          <w:lang w:val="en-US" w:eastAsia="zh-CN"/>
        </w:rPr>
        <w:t>相关标准报销城市间交通费、市内交通费及伙食补助费</w:t>
      </w:r>
      <w:bookmarkEnd w:id="30"/>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kern w:val="2"/>
          <w:sz w:val="32"/>
          <w:szCs w:val="32"/>
          <w:highlight w:val="none"/>
          <w:lang w:val="en-US" w:eastAsia="zh-CN" w:bidi="ar-SA"/>
        </w:rPr>
        <w:t>工作餐应附就餐人员名单及发票，工作餐费不得以现金形式发放</w:t>
      </w:r>
      <w:bookmarkStart w:id="31" w:name="OLE_LINK117"/>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lang w:val="en-US" w:eastAsia="zh-CN"/>
        </w:rPr>
        <w:t>已按规定领取相关劳务费的不得再开支工作餐补助。</w:t>
      </w:r>
      <w:bookmarkEnd w:id="25"/>
    </w:p>
    <w:bookmarkEnd w:id="24"/>
    <w:bookmarkEnd w:id="26"/>
    <w:bookmarkEnd w:id="31"/>
    <w:p w14:paraId="27727A89">
      <w:pPr>
        <w:pStyle w:val="8"/>
        <w:keepNext w:val="0"/>
        <w:keepLines w:val="0"/>
        <w:pageBreakBefore w:val="0"/>
        <w:kinsoku/>
        <w:wordWrap/>
        <w:overflowPunct/>
        <w:topLinePunct w:val="0"/>
        <w:autoSpaceDE/>
        <w:autoSpaceDN/>
        <w:bidi w:val="0"/>
        <w:adjustRightInd/>
        <w:snapToGrid/>
        <w:spacing w:line="576" w:lineRule="exact"/>
        <w:ind w:left="0" w:leftChars="0" w:firstLine="601" w:firstLineChars="0"/>
        <w:jc w:val="both"/>
        <w:outlineLvl w:val="0"/>
        <w:rPr>
          <w:rFonts w:hint="eastAsia" w:ascii="仿宋_GB2312" w:hAnsi="仿宋_GB2312" w:eastAsia="仿宋_GB2312" w:cs="仿宋_GB2312"/>
          <w:color w:val="auto"/>
          <w:sz w:val="32"/>
          <w:szCs w:val="32"/>
          <w:lang w:val="en-US" w:eastAsia="zh-CN"/>
        </w:rPr>
      </w:pPr>
      <w:bookmarkStart w:id="32" w:name="OLE_LINK32"/>
      <w:r>
        <w:rPr>
          <w:rFonts w:hint="eastAsia" w:ascii="仿宋_GB2312" w:hAnsi="仿宋_GB2312" w:eastAsia="仿宋_GB2312" w:cs="仿宋_GB2312"/>
          <w:color w:val="auto"/>
          <w:sz w:val="32"/>
          <w:szCs w:val="32"/>
          <w:lang w:val="en-US" w:eastAsia="zh-CN"/>
        </w:rPr>
        <w:t>5.劳务费：举办文体比赛活动期间需聘请裁判员、评</w:t>
      </w:r>
      <w:r>
        <w:rPr>
          <w:rFonts w:hint="eastAsia" w:ascii="仿宋_GB2312" w:hAnsi="仿宋_GB2312" w:eastAsia="仿宋_GB2312" w:cs="仿宋_GB2312"/>
          <w:color w:val="auto"/>
          <w:sz w:val="32"/>
          <w:szCs w:val="32"/>
          <w:highlight w:val="none"/>
          <w:lang w:val="en-US" w:eastAsia="zh-CN"/>
        </w:rPr>
        <w:t>委、</w:t>
      </w:r>
      <w:bookmarkStart w:id="33" w:name="OLE_LINK11"/>
      <w:r>
        <w:rPr>
          <w:rFonts w:hint="eastAsia" w:ascii="仿宋_GB2312" w:hAnsi="仿宋_GB2312" w:eastAsia="仿宋_GB2312" w:cs="仿宋_GB2312"/>
          <w:color w:val="auto"/>
          <w:sz w:val="32"/>
          <w:szCs w:val="32"/>
          <w:highlight w:val="none"/>
          <w:lang w:val="en-US" w:eastAsia="zh-CN"/>
        </w:rPr>
        <w:t>主持人</w:t>
      </w:r>
      <w:bookmarkEnd w:id="33"/>
      <w:r>
        <w:rPr>
          <w:rFonts w:hint="eastAsia" w:ascii="仿宋_GB2312" w:hAnsi="仿宋_GB2312" w:eastAsia="仿宋_GB2312" w:cs="仿宋_GB2312"/>
          <w:color w:val="auto"/>
          <w:sz w:val="32"/>
          <w:szCs w:val="32"/>
          <w:highlight w:val="none"/>
          <w:lang w:val="en-US" w:eastAsia="zh-CN"/>
        </w:rPr>
        <w:t>等工作人员的，</w:t>
      </w:r>
      <w:bookmarkStart w:id="34" w:name="OLE_LINK15"/>
      <w:r>
        <w:rPr>
          <w:rFonts w:hint="eastAsia" w:ascii="仿宋_GB2312" w:hAnsi="仿宋_GB2312" w:eastAsia="仿宋_GB2312" w:cs="仿宋_GB2312"/>
          <w:color w:val="auto"/>
          <w:sz w:val="32"/>
          <w:szCs w:val="32"/>
          <w:highlight w:val="none"/>
          <w:lang w:val="en-US" w:eastAsia="zh-CN"/>
        </w:rPr>
        <w:t>劳务费标准</w:t>
      </w:r>
      <w:bookmarkEnd w:id="34"/>
      <w:r>
        <w:rPr>
          <w:rFonts w:hint="eastAsia" w:ascii="仿宋_GB2312" w:hAnsi="仿宋_GB2312" w:eastAsia="仿宋_GB2312" w:cs="仿宋_GB2312"/>
          <w:color w:val="auto"/>
          <w:sz w:val="32"/>
          <w:szCs w:val="32"/>
          <w:highlight w:val="none"/>
          <w:lang w:val="en-US" w:eastAsia="zh-CN"/>
        </w:rPr>
        <w:t>为:裁判员、评委、</w:t>
      </w:r>
      <w:bookmarkStart w:id="35" w:name="OLE_LINK12"/>
      <w:r>
        <w:rPr>
          <w:rFonts w:hint="eastAsia" w:ascii="仿宋_GB2312" w:hAnsi="仿宋_GB2312" w:eastAsia="仿宋_GB2312" w:cs="仿宋_GB2312"/>
          <w:color w:val="auto"/>
          <w:sz w:val="32"/>
          <w:szCs w:val="32"/>
          <w:highlight w:val="none"/>
          <w:lang w:val="en-US" w:eastAsia="zh-CN"/>
        </w:rPr>
        <w:t>主持人</w:t>
      </w:r>
      <w:bookmarkEnd w:id="35"/>
      <w:r>
        <w:rPr>
          <w:rFonts w:hint="eastAsia" w:ascii="仿宋_GB2312" w:hAnsi="仿宋_GB2312" w:eastAsia="仿宋_GB2312" w:cs="仿宋_GB2312"/>
          <w:color w:val="auto"/>
          <w:sz w:val="32"/>
          <w:szCs w:val="32"/>
          <w:highlight w:val="none"/>
          <w:lang w:val="en-US" w:eastAsia="zh-CN"/>
        </w:rPr>
        <w:t>每半天不超过300元，其他工作人员每半天不超过100元。文体活动需聘请教练</w:t>
      </w:r>
      <w:bookmarkStart w:id="36" w:name="OLE_LINK13"/>
      <w:r>
        <w:rPr>
          <w:rFonts w:hint="eastAsia" w:ascii="仿宋_GB2312" w:hAnsi="仿宋_GB2312" w:eastAsia="仿宋_GB2312" w:cs="仿宋_GB2312"/>
          <w:color w:val="auto"/>
          <w:sz w:val="32"/>
          <w:szCs w:val="32"/>
          <w:highlight w:val="none"/>
          <w:lang w:val="en-US" w:eastAsia="zh-CN"/>
        </w:rPr>
        <w:t>和指导教师的</w:t>
      </w:r>
      <w:bookmarkEnd w:id="36"/>
      <w:r>
        <w:rPr>
          <w:rFonts w:hint="eastAsia" w:ascii="仿宋_GB2312" w:hAnsi="仿宋_GB2312" w:eastAsia="仿宋_GB2312" w:cs="仿宋_GB2312"/>
          <w:color w:val="auto"/>
          <w:sz w:val="32"/>
          <w:szCs w:val="32"/>
          <w:highlight w:val="none"/>
          <w:lang w:val="en-US" w:eastAsia="zh-CN"/>
        </w:rPr>
        <w:t>，可以按不高于裁判员、评委、主持人劳务费标准开展。举办单位本职工作人员，在工作时间内担任裁判、评委、主持人、教练和指导教师的等工作的，不得领</w:t>
      </w:r>
      <w:r>
        <w:rPr>
          <w:rFonts w:hint="eastAsia" w:ascii="仿宋_GB2312" w:hAnsi="仿宋_GB2312" w:eastAsia="仿宋_GB2312" w:cs="仿宋_GB2312"/>
          <w:color w:val="auto"/>
          <w:sz w:val="32"/>
          <w:szCs w:val="32"/>
          <w:lang w:val="en-US" w:eastAsia="zh-CN"/>
        </w:rPr>
        <w:t>取劳务费。</w:t>
      </w:r>
    </w:p>
    <w:bookmarkEnd w:id="32"/>
    <w:p w14:paraId="4E829DBB">
      <w:pPr>
        <w:pStyle w:val="8"/>
        <w:keepNext w:val="0"/>
        <w:keepLines w:val="0"/>
        <w:pageBreakBefore w:val="0"/>
        <w:kinsoku/>
        <w:wordWrap/>
        <w:overflowPunct/>
        <w:topLinePunct w:val="0"/>
        <w:autoSpaceDE/>
        <w:autoSpaceDN/>
        <w:bidi w:val="0"/>
        <w:adjustRightInd/>
        <w:snapToGrid/>
        <w:spacing w:line="576" w:lineRule="exact"/>
        <w:ind w:left="0" w:leftChars="0" w:firstLine="601" w:firstLineChars="0"/>
        <w:jc w:val="both"/>
        <w:outlineLvl w:val="0"/>
        <w:rPr>
          <w:rFonts w:hint="eastAsia" w:ascii="仿宋_GB2312" w:hAnsi="仿宋_GB2312" w:eastAsia="仿宋_GB2312" w:cs="仿宋_GB2312"/>
          <w:color w:val="auto"/>
          <w:sz w:val="32"/>
          <w:szCs w:val="32"/>
          <w:highlight w:val="none"/>
          <w:lang w:val="en-US" w:eastAsia="zh-CN"/>
        </w:rPr>
      </w:pPr>
      <w:bookmarkStart w:id="37" w:name="OLE_LINK33"/>
      <w:bookmarkStart w:id="38" w:name="OLE_LINK118"/>
      <w:r>
        <w:rPr>
          <w:rFonts w:hint="eastAsia" w:ascii="仿宋_GB2312" w:hAnsi="仿宋_GB2312" w:eastAsia="仿宋_GB2312" w:cs="仿宋_GB2312"/>
          <w:color w:val="auto"/>
          <w:sz w:val="32"/>
          <w:szCs w:val="32"/>
          <w:highlight w:val="none"/>
          <w:lang w:val="en-US" w:eastAsia="zh-CN"/>
        </w:rPr>
        <w:t>6.经批准参加活动的借调、挂职等人员，相关开支和奖励同其他在册在职会员标准执行。</w:t>
      </w:r>
    </w:p>
    <w:p w14:paraId="75304192">
      <w:pPr>
        <w:pStyle w:val="8"/>
        <w:keepNext w:val="0"/>
        <w:keepLines w:val="0"/>
        <w:pageBreakBefore w:val="0"/>
        <w:kinsoku/>
        <w:wordWrap/>
        <w:overflowPunct/>
        <w:topLinePunct w:val="0"/>
        <w:autoSpaceDE/>
        <w:autoSpaceDN/>
        <w:bidi w:val="0"/>
        <w:adjustRightInd/>
        <w:snapToGrid/>
        <w:spacing w:line="576" w:lineRule="exact"/>
        <w:ind w:left="0" w:leftChars="0" w:firstLine="601" w:firstLineChars="0"/>
        <w:jc w:val="both"/>
        <w:outlineLvl w:val="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7.基层工会开展文体比赛活动，可为参加人员购买活动期间的短期一次性意外伤害保险。</w:t>
      </w:r>
    </w:p>
    <w:bookmarkEnd w:id="37"/>
    <w:bookmarkEnd w:id="38"/>
    <w:p w14:paraId="422F25A9">
      <w:pPr>
        <w:pStyle w:val="8"/>
        <w:keepNext w:val="0"/>
        <w:keepLines w:val="0"/>
        <w:pageBreakBefore w:val="0"/>
        <w:numPr>
          <w:ilvl w:val="0"/>
          <w:numId w:val="0"/>
        </w:numPr>
        <w:kinsoku/>
        <w:wordWrap/>
        <w:overflowPunct/>
        <w:topLinePunct w:val="0"/>
        <w:autoSpaceDE/>
        <w:autoSpaceDN/>
        <w:bidi w:val="0"/>
        <w:adjustRightInd/>
        <w:snapToGrid/>
        <w:spacing w:line="576" w:lineRule="exact"/>
        <w:ind w:firstLine="640" w:firstLineChars="200"/>
        <w:jc w:val="both"/>
        <w:outlineLvl w:val="0"/>
        <w:rPr>
          <w:rFonts w:hint="eastAsia" w:ascii="仿宋_GB2312" w:hAnsi="仿宋_GB2312" w:eastAsia="仿宋_GB2312" w:cs="仿宋_GB2312"/>
          <w:color w:val="auto"/>
          <w:w w:val="99"/>
          <w:kern w:val="2"/>
          <w:sz w:val="32"/>
          <w:szCs w:val="32"/>
          <w:lang w:val="en-US" w:eastAsia="zh-CN" w:bidi="ar-SA"/>
        </w:rPr>
      </w:pPr>
      <w:bookmarkStart w:id="39" w:name="OLE_LINK35"/>
      <w:r>
        <w:rPr>
          <w:rFonts w:hint="eastAsia" w:ascii="楷体_GB2312" w:hAnsi="楷体_GB2312" w:eastAsia="楷体_GB2312" w:cs="楷体_GB2312"/>
          <w:color w:val="auto"/>
          <w:kern w:val="2"/>
          <w:sz w:val="32"/>
          <w:szCs w:val="32"/>
          <w:lang w:val="en-US" w:eastAsia="zh-CN" w:bidi="ar-SA"/>
        </w:rPr>
        <w:t>（三）宣传活动支出。</w:t>
      </w:r>
      <w:bookmarkEnd w:id="39"/>
      <w:r>
        <w:rPr>
          <w:rFonts w:hint="eastAsia" w:ascii="仿宋_GB2312" w:hAnsi="仿宋_GB2312" w:eastAsia="仿宋_GB2312" w:cs="仿宋_GB2312"/>
          <w:color w:val="auto"/>
          <w:kern w:val="2"/>
          <w:sz w:val="32"/>
          <w:szCs w:val="32"/>
          <w:lang w:val="en-US" w:eastAsia="zh-CN" w:bidi="ar-SA"/>
        </w:rPr>
        <w:t>用于开展重点工作、重大主题和重大节日宣传活动所需材料消耗、场地租金、购买服务等方面的支出；用于培育和践行社会主义核心价值观，弘扬劳模精神和工匠精神等经常性宣传活动方面的支出；用于开展或参加上级工会举办的知识竞赛、宣讲、演讲比赛、展览等宣传活动支出</w:t>
      </w:r>
      <w:r>
        <w:rPr>
          <w:rFonts w:hint="eastAsia" w:ascii="仿宋_GB2312" w:hAnsi="仿宋_GB2312" w:eastAsia="仿宋_GB2312" w:cs="仿宋_GB2312"/>
          <w:color w:val="auto"/>
          <w:w w:val="99"/>
          <w:kern w:val="2"/>
          <w:sz w:val="32"/>
          <w:szCs w:val="32"/>
          <w:lang w:val="en-US" w:eastAsia="zh-CN" w:bidi="ar-SA"/>
        </w:rPr>
        <w:t>。</w:t>
      </w:r>
    </w:p>
    <w:p w14:paraId="46F6ECA6">
      <w:pPr>
        <w:pStyle w:val="8"/>
        <w:keepNext w:val="0"/>
        <w:keepLines w:val="0"/>
        <w:pageBreakBefore w:val="0"/>
        <w:numPr>
          <w:ilvl w:val="0"/>
          <w:numId w:val="0"/>
        </w:numPr>
        <w:kinsoku/>
        <w:wordWrap/>
        <w:overflowPunct/>
        <w:topLinePunct w:val="0"/>
        <w:autoSpaceDE/>
        <w:autoSpaceDN/>
        <w:bidi w:val="0"/>
        <w:adjustRightInd/>
        <w:snapToGrid/>
        <w:spacing w:line="576" w:lineRule="exact"/>
        <w:ind w:firstLine="640" w:firstLineChars="200"/>
        <w:jc w:val="both"/>
        <w:outlineLvl w:val="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宣传活动聘请裁判、评委、教练、指导教师、主持人等工作人员劳务费及活动奖励范围和标准参照文体比赛活动执行；开展劳模精神、劳动精神、工匠精神、社会主义核心价值观等宣讲活动，确需外聘宣讲人员的，宣讲人员酬金可参照教职工教育支出授课人员酬金标准执行，本单位工作人员不得领取宣讲酬金。</w:t>
      </w:r>
    </w:p>
    <w:p w14:paraId="5563A63F">
      <w:pPr>
        <w:pStyle w:val="8"/>
        <w:keepNext w:val="0"/>
        <w:keepLines w:val="0"/>
        <w:pageBreakBefore w:val="0"/>
        <w:numPr>
          <w:ilvl w:val="0"/>
          <w:numId w:val="0"/>
        </w:numPr>
        <w:kinsoku/>
        <w:wordWrap/>
        <w:overflowPunct/>
        <w:topLinePunct w:val="0"/>
        <w:autoSpaceDE/>
        <w:autoSpaceDN/>
        <w:bidi w:val="0"/>
        <w:adjustRightInd/>
        <w:snapToGrid/>
        <w:spacing w:line="576" w:lineRule="exact"/>
        <w:ind w:firstLine="640" w:firstLineChars="200"/>
        <w:jc w:val="both"/>
        <w:outlineLvl w:val="0"/>
        <w:rPr>
          <w:rFonts w:hint="eastAsia" w:ascii="仿宋_GB2312" w:hAnsi="仿宋_GB2312" w:eastAsia="仿宋_GB2312" w:cs="仿宋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（四）疗休养活动支出。</w:t>
      </w:r>
      <w:r>
        <w:rPr>
          <w:rFonts w:hint="eastAsia" w:ascii="仿宋_GB2312" w:hAnsi="仿宋_GB2312" w:eastAsia="仿宋_GB2312" w:cs="仿宋_GB2312"/>
          <w:color w:val="auto"/>
          <w:kern w:val="2"/>
          <w:sz w:val="32"/>
          <w:szCs w:val="32"/>
          <w:highlight w:val="none"/>
          <w:lang w:val="en-US" w:eastAsia="zh-CN" w:bidi="ar-SA"/>
        </w:rPr>
        <w:t>用于学校工会</w:t>
      </w:r>
      <w:r>
        <w:rPr>
          <w:rFonts w:hint="eastAsia" w:ascii="仿宋_GB2312" w:hAnsi="仿宋_GB2312" w:eastAsia="仿宋_GB2312" w:cs="仿宋_GB2312"/>
          <w:color w:val="auto"/>
          <w:kern w:val="2"/>
          <w:sz w:val="32"/>
          <w:szCs w:val="32"/>
          <w:lang w:val="en-US" w:eastAsia="zh-CN" w:bidi="ar-SA"/>
        </w:rPr>
        <w:t>组织开展的劳动模范和先进、一线教职工疗</w:t>
      </w:r>
      <w:r>
        <w:rPr>
          <w:rFonts w:hint="eastAsia" w:ascii="仿宋_GB2312" w:hAnsi="仿宋_GB2312" w:eastAsia="仿宋_GB2312" w:cs="仿宋_GB2312"/>
          <w:color w:val="auto"/>
          <w:kern w:val="2"/>
          <w:sz w:val="32"/>
          <w:szCs w:val="32"/>
          <w:highlight w:val="none"/>
          <w:lang w:val="en-US" w:eastAsia="zh-CN" w:bidi="ar-SA"/>
        </w:rPr>
        <w:t>休养等活动支出。工会组织开展疗休养活动，要面向全体教职工，尤其是劳模（含五一劳动奖章、五一巾帼标兵获得者）、</w:t>
      </w:r>
      <w:r>
        <w:rPr>
          <w:rFonts w:hint="eastAsia" w:ascii="仿宋_GB2312" w:hAnsi="仿宋_GB2312" w:eastAsia="仿宋_GB2312" w:cs="仿宋_GB2312"/>
          <w:color w:val="auto"/>
          <w:sz w:val="32"/>
          <w:szCs w:val="32"/>
          <w:highlight w:val="none"/>
          <w:lang w:val="en-US" w:eastAsia="zh-CN"/>
        </w:rPr>
        <w:t>教学名师、优秀辅导员、先进工作者</w:t>
      </w:r>
      <w:r>
        <w:rPr>
          <w:rFonts w:hint="eastAsia" w:ascii="仿宋_GB2312" w:hAnsi="仿宋_GB2312" w:eastAsia="仿宋_GB2312" w:cs="仿宋_GB2312"/>
          <w:color w:val="auto"/>
          <w:kern w:val="2"/>
          <w:sz w:val="32"/>
          <w:szCs w:val="32"/>
          <w:highlight w:val="none"/>
          <w:lang w:val="en-US" w:eastAsia="zh-CN" w:bidi="ar-SA"/>
        </w:rPr>
        <w:t>和一线教职工等，特别是患职业病、慢性病和即将退休的教职工。每年组织疗休养人数不超过本单位教职工会员人数的五分之一，争取全体教职工五年内全部参加一次疗休养，活动工作人员比例不超过疗休养人数的10%；应优先选择工会所属的工人疗养院，也可选择工会命名的职工疗休养基地、劳动模范疗休养院开展疗休养活动；时间不超过5天（含往返不超过6天），往返按一天计算；</w:t>
      </w:r>
    </w:p>
    <w:p w14:paraId="321EB585">
      <w:pPr>
        <w:keepNext w:val="0"/>
        <w:keepLines w:val="0"/>
        <w:pageBreakBefore w:val="0"/>
        <w:wordWrap/>
        <w:overflowPunct/>
        <w:topLinePunct w:val="0"/>
        <w:bidi w:val="0"/>
        <w:spacing w:line="576" w:lineRule="exact"/>
        <w:ind w:firstLine="640" w:firstLineChars="200"/>
        <w:jc w:val="both"/>
        <w:rPr>
          <w:rFonts w:hint="eastAsia" w:ascii="仿宋_GB2312" w:hAnsi="仿宋_GB2312" w:eastAsia="仿宋_GB2312" w:cs="仿宋_GB2312"/>
          <w:color w:val="FF0000"/>
          <w:kern w:val="2"/>
          <w:sz w:val="32"/>
          <w:szCs w:val="32"/>
          <w:highlight w:val="yellow"/>
          <w:lang w:val="en-US" w:eastAsia="zh-CN" w:bidi="ar-SA"/>
        </w:rPr>
      </w:pPr>
      <w:bookmarkStart w:id="40" w:name="OLE_LINK82"/>
      <w:r>
        <w:rPr>
          <w:rFonts w:hint="eastAsia" w:ascii="仿宋_GB2312" w:hAnsi="仿宋_GB2312" w:eastAsia="仿宋_GB2312" w:cs="仿宋_GB2312"/>
          <w:color w:val="auto"/>
          <w:kern w:val="2"/>
          <w:sz w:val="32"/>
          <w:szCs w:val="32"/>
          <w:highlight w:val="none"/>
          <w:lang w:val="en-US" w:eastAsia="zh-CN" w:bidi="ar-SA"/>
        </w:rPr>
        <w:t>1.疗休养</w:t>
      </w:r>
      <w:bookmarkEnd w:id="40"/>
      <w:r>
        <w:rPr>
          <w:rFonts w:hint="eastAsia" w:ascii="仿宋_GB2312" w:hAnsi="仿宋_GB2312" w:eastAsia="仿宋_GB2312" w:cs="仿宋_GB2312"/>
          <w:color w:val="auto"/>
          <w:kern w:val="2"/>
          <w:sz w:val="32"/>
          <w:szCs w:val="32"/>
          <w:highlight w:val="none"/>
          <w:lang w:val="en-US" w:eastAsia="zh-CN" w:bidi="ar-SA"/>
        </w:rPr>
        <w:t>经费标准：</w:t>
      </w:r>
      <w:r>
        <w:rPr>
          <w:rFonts w:hint="default" w:ascii="仿宋_GB2312" w:hAnsi="仿宋_GB2312" w:eastAsia="仿宋_GB2312" w:cs="仿宋_GB2312"/>
          <w:color w:val="auto"/>
          <w:kern w:val="2"/>
          <w:sz w:val="32"/>
          <w:szCs w:val="32"/>
          <w:highlight w:val="none"/>
          <w:lang w:val="en-US" w:eastAsia="zh-CN" w:bidi="ar-SA"/>
        </w:rPr>
        <w:t>县级及以上</w:t>
      </w:r>
      <w:r>
        <w:rPr>
          <w:rFonts w:hint="eastAsia" w:ascii="仿宋_GB2312" w:hAnsi="仿宋_GB2312" w:eastAsia="仿宋_GB2312" w:cs="仿宋_GB2312"/>
          <w:color w:val="auto"/>
          <w:kern w:val="2"/>
          <w:sz w:val="32"/>
          <w:szCs w:val="32"/>
          <w:highlight w:val="none"/>
          <w:lang w:val="en-US" w:eastAsia="zh-CN" w:bidi="ar-SA"/>
        </w:rPr>
        <w:t>劳动模范和先进工作者等功勋荣誉获得者每人每天不超过800元</w:t>
      </w:r>
      <w:r>
        <w:rPr>
          <w:rFonts w:hint="eastAsia" w:ascii="仿宋_GB2312" w:hAnsi="仿宋_GB2312" w:eastAsia="仿宋_GB2312" w:cs="仿宋_GB2312"/>
          <w:b w:val="0"/>
          <w:bCs w:val="0"/>
          <w:color w:val="auto"/>
          <w:kern w:val="2"/>
          <w:sz w:val="32"/>
          <w:szCs w:val="32"/>
          <w:highlight w:val="none"/>
          <w:lang w:val="en-US" w:eastAsia="zh-CN" w:bidi="ar-SA"/>
        </w:rPr>
        <w:t>，教学名师、优秀辅导员、先进工作者等每人每天不超过600元，工作人员按每人每天不超过450元标准执行。</w:t>
      </w:r>
    </w:p>
    <w:p w14:paraId="32D47F38">
      <w:pPr>
        <w:pStyle w:val="3"/>
        <w:keepNext w:val="0"/>
        <w:keepLines w:val="0"/>
        <w:pageBreakBefore w:val="0"/>
        <w:widowControl/>
        <w:kinsoku/>
        <w:wordWrap/>
        <w:overflowPunct/>
        <w:topLinePunct w:val="0"/>
        <w:autoSpaceDE/>
        <w:autoSpaceDN/>
        <w:bidi w:val="0"/>
        <w:adjustRightInd/>
        <w:snapToGrid/>
        <w:spacing w:line="576" w:lineRule="exact"/>
        <w:ind w:left="0" w:leftChars="0" w:firstLine="601" w:firstLineChars="0"/>
        <w:jc w:val="left"/>
        <w:textAlignment w:val="auto"/>
        <w:rPr>
          <w:rFonts w:hint="default" w:ascii="仿宋_GB2312" w:hAnsi="仿宋_GB2312" w:eastAsia="仿宋_GB2312" w:cs="仿宋_GB2312"/>
          <w:b/>
          <w:bCs/>
          <w:color w:val="auto"/>
          <w:kern w:val="2"/>
          <w:sz w:val="32"/>
          <w:szCs w:val="32"/>
          <w:highlight w:val="yellow"/>
          <w:lang w:val="en-US" w:eastAsia="zh-CN" w:bidi="ar-SA"/>
        </w:rPr>
      </w:pPr>
      <w:bookmarkStart w:id="41" w:name="OLE_LINK83"/>
      <w:bookmarkStart w:id="42" w:name="OLE_LINK119"/>
      <w:bookmarkStart w:id="43" w:name="OLE_LINK105"/>
      <w:r>
        <w:rPr>
          <w:rFonts w:hint="eastAsia" w:ascii="仿宋_GB2312" w:hAnsi="仿宋_GB2312" w:eastAsia="仿宋_GB2312" w:cs="仿宋_GB2312"/>
          <w:b w:val="0"/>
          <w:bCs w:val="0"/>
          <w:color w:val="auto"/>
          <w:kern w:val="2"/>
          <w:sz w:val="32"/>
          <w:szCs w:val="32"/>
          <w:highlight w:val="none"/>
          <w:lang w:val="en-US" w:eastAsia="zh-CN" w:bidi="ar-SA"/>
        </w:rPr>
        <w:t>2.疗休养人员</w:t>
      </w:r>
      <w:bookmarkEnd w:id="41"/>
      <w:r>
        <w:rPr>
          <w:rFonts w:hint="eastAsia" w:ascii="仿宋_GB2312" w:hAnsi="仿宋_GB2312" w:eastAsia="仿宋_GB2312" w:cs="仿宋_GB2312"/>
          <w:b w:val="0"/>
          <w:bCs w:val="0"/>
          <w:color w:val="auto"/>
          <w:kern w:val="2"/>
          <w:sz w:val="32"/>
          <w:szCs w:val="32"/>
          <w:highlight w:val="none"/>
          <w:lang w:val="en-US" w:eastAsia="zh-CN" w:bidi="ar-SA"/>
        </w:rPr>
        <w:t>往返交通伙食费：疗休养人员往返城市间交通费及往返当日市内交通费、伙食费按照</w:t>
      </w:r>
      <w:r>
        <w:rPr>
          <w:rFonts w:hint="eastAsia" w:ascii="仿宋_GB2312" w:hAnsi="仿宋_GB2312" w:eastAsia="仿宋_GB2312" w:cs="仿宋_GB2312"/>
          <w:color w:val="auto"/>
          <w:kern w:val="2"/>
          <w:sz w:val="32"/>
          <w:szCs w:val="32"/>
          <w:highlight w:val="none"/>
          <w:lang w:val="en-US" w:eastAsia="zh-CN"/>
        </w:rPr>
        <w:t>《茅台学院差旅费管理办法》</w:t>
      </w:r>
      <w:r>
        <w:rPr>
          <w:rFonts w:hint="eastAsia" w:ascii="仿宋_GB2312" w:hAnsi="仿宋_GB2312" w:eastAsia="仿宋_GB2312" w:cs="仿宋_GB2312"/>
          <w:b w:val="0"/>
          <w:bCs w:val="0"/>
          <w:color w:val="auto"/>
          <w:kern w:val="2"/>
          <w:sz w:val="32"/>
          <w:szCs w:val="32"/>
          <w:highlight w:val="none"/>
          <w:lang w:val="en-US" w:eastAsia="zh-CN" w:bidi="ar-SA"/>
        </w:rPr>
        <w:t>相关标准执行。</w:t>
      </w:r>
      <w:bookmarkEnd w:id="42"/>
    </w:p>
    <w:bookmarkEnd w:id="43"/>
    <w:p w14:paraId="5B9588FF">
      <w:pPr>
        <w:keepNext w:val="0"/>
        <w:keepLines w:val="0"/>
        <w:pageBreakBefore w:val="0"/>
        <w:wordWrap/>
        <w:overflowPunct/>
        <w:topLinePunct w:val="0"/>
        <w:bidi w:val="0"/>
        <w:spacing w:line="576" w:lineRule="exact"/>
        <w:ind w:firstLine="659"/>
        <w:jc w:val="both"/>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lang w:val="en-US" w:eastAsia="zh-CN" w:bidi="ar-SA"/>
        </w:rPr>
        <w:t>3.</w:t>
      </w:r>
      <w:r>
        <w:rPr>
          <w:rFonts w:hint="default" w:ascii="仿宋_GB2312" w:hAnsi="仿宋_GB2312" w:eastAsia="仿宋_GB2312" w:cs="仿宋_GB2312"/>
          <w:color w:val="auto"/>
          <w:kern w:val="2"/>
          <w:sz w:val="32"/>
          <w:szCs w:val="32"/>
          <w:lang w:val="en-US" w:eastAsia="zh-CN" w:bidi="ar-SA"/>
        </w:rPr>
        <w:t>疗休养主要以休息疗养、康复治疗、开展健康体检和讲座、形势报告、座谈交流、文体活动等形式组织开展。疗休养期间不得安排到收费旅游景点开展活动</w:t>
      </w:r>
      <w:r>
        <w:rPr>
          <w:rFonts w:hint="eastAsia" w:ascii="仿宋_GB2312" w:hAnsi="仿宋_GB2312" w:eastAsia="仿宋_GB2312" w:cs="仿宋_GB2312"/>
          <w:color w:val="auto"/>
          <w:kern w:val="2"/>
          <w:sz w:val="32"/>
          <w:szCs w:val="32"/>
          <w:lang w:val="en-US" w:eastAsia="zh-CN" w:bidi="ar-SA"/>
        </w:rPr>
        <w:t>，疗休养地点以工会系统挂牌的疗休养基地为</w:t>
      </w:r>
      <w:r>
        <w:rPr>
          <w:rFonts w:hint="eastAsia" w:ascii="仿宋_GB2312" w:hAnsi="仿宋_GB2312" w:eastAsia="仿宋_GB2312" w:cs="仿宋_GB2312"/>
          <w:color w:val="auto"/>
          <w:kern w:val="2"/>
          <w:sz w:val="32"/>
          <w:szCs w:val="32"/>
          <w:highlight w:val="none"/>
          <w:lang w:val="en-US" w:eastAsia="zh-CN" w:bidi="ar-SA"/>
        </w:rPr>
        <w:t>主。</w:t>
      </w:r>
      <w:r>
        <w:rPr>
          <w:rFonts w:hint="default" w:ascii="仿宋_GB2312" w:hAnsi="仿宋_GB2312" w:eastAsia="仿宋_GB2312" w:cs="仿宋_GB2312"/>
          <w:color w:val="auto"/>
          <w:kern w:val="2"/>
          <w:sz w:val="32"/>
          <w:szCs w:val="32"/>
          <w:highlight w:val="none"/>
          <w:lang w:val="en-US" w:eastAsia="zh-CN" w:bidi="ar-SA"/>
        </w:rPr>
        <w:t>将爱国主义教育、党性教育、劳模职工素质提升与疗休养活动结合起来，严禁借疗休养名义组织公款或变相公款旅游。疗休养期间要严格控制外出参观学习时间、地点和相关经费支出，参观考察以免费的革命传统教育基地、先进企业及社区、社会主义新农村、博物馆、纪念馆等为主，外出参观原则上不超过疗休养时间的三分之一。</w:t>
      </w:r>
    </w:p>
    <w:p w14:paraId="0ED4B879">
      <w:pPr>
        <w:keepNext w:val="0"/>
        <w:keepLines w:val="0"/>
        <w:pageBreakBefore w:val="0"/>
        <w:wordWrap/>
        <w:overflowPunct/>
        <w:topLinePunct w:val="0"/>
        <w:bidi w:val="0"/>
        <w:spacing w:line="576" w:lineRule="exact"/>
        <w:ind w:firstLine="640" w:firstLineChars="200"/>
        <w:jc w:val="both"/>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4.全国总工会、省总工会及有关部门有特别规定的，从其规定</w:t>
      </w:r>
      <w:r>
        <w:rPr>
          <w:rFonts w:hint="eastAsia" w:ascii="仿宋_GB2312" w:hAnsi="仿宋_GB2312" w:eastAsia="仿宋_GB2312" w:cs="仿宋_GB2312"/>
          <w:color w:val="auto"/>
          <w:sz w:val="32"/>
          <w:szCs w:val="32"/>
          <w:lang w:val="en-US" w:eastAsia="zh-CN"/>
        </w:rPr>
        <w:t>。</w:t>
      </w:r>
    </w:p>
    <w:p w14:paraId="2CEB71CF">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default" w:ascii="仿宋_GB2312" w:hAnsi="仿宋_GB2312" w:eastAsia="仿宋_GB2312" w:cs="仿宋_GB2312"/>
          <w:color w:val="auto"/>
          <w:kern w:val="2"/>
          <w:sz w:val="32"/>
          <w:szCs w:val="32"/>
          <w:highlight w:val="yellow"/>
          <w:lang w:val="en-US" w:eastAsia="zh-CN" w:bidi="ar-SA"/>
        </w:rPr>
      </w:pPr>
      <w:r>
        <w:rPr>
          <w:rFonts w:hint="eastAsia" w:ascii="楷体_GB2312" w:hAnsi="楷体_GB2312" w:eastAsia="楷体_GB2312" w:cs="楷体_GB2312"/>
          <w:color w:val="auto"/>
          <w:kern w:val="2"/>
          <w:sz w:val="32"/>
          <w:szCs w:val="32"/>
          <w:lang w:val="en-US" w:eastAsia="zh-CN" w:bidi="ar-SA"/>
        </w:rPr>
        <w:t>（五）会员活动支出。</w:t>
      </w:r>
      <w:r>
        <w:rPr>
          <w:rFonts w:hint="eastAsia" w:ascii="仿宋_GB2312" w:hAnsi="仿宋_GB2312" w:eastAsia="仿宋_GB2312" w:cs="仿宋_GB2312"/>
          <w:color w:val="auto"/>
          <w:kern w:val="2"/>
          <w:sz w:val="32"/>
          <w:szCs w:val="32"/>
          <w:lang w:val="en-US" w:eastAsia="zh-CN" w:bidi="ar-SA"/>
        </w:rPr>
        <w:t>用于学校工会组织会员观看电影、文艺演出和体育比赛、开展春游秋游、</w:t>
      </w:r>
      <w:r>
        <w:rPr>
          <w:rFonts w:hint="eastAsia" w:ascii="仿宋_GB2312" w:hAnsi="仿宋_GB2312" w:eastAsia="仿宋_GB2312" w:cs="仿宋_GB2312"/>
          <w:color w:val="auto"/>
          <w:kern w:val="2"/>
          <w:sz w:val="32"/>
          <w:szCs w:val="32"/>
          <w:highlight w:val="none"/>
          <w:lang w:val="en-US" w:eastAsia="zh-CN" w:bidi="ar-SA"/>
        </w:rPr>
        <w:t>发放阶段性工会消费券等支出；会费不足部分可以用其他工会经费弥补，弥补部分不超过当年会费收入的四倍。</w:t>
      </w:r>
    </w:p>
    <w:p w14:paraId="0DA430E2">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1.学校工会（或工会小组）组织会员</w:t>
      </w:r>
      <w:bookmarkStart w:id="44" w:name="OLE_LINK25"/>
      <w:r>
        <w:rPr>
          <w:rFonts w:hint="eastAsia" w:ascii="仿宋_GB2312" w:hAnsi="仿宋_GB2312" w:eastAsia="仿宋_GB2312" w:cs="仿宋_GB2312"/>
          <w:color w:val="auto"/>
          <w:kern w:val="2"/>
          <w:sz w:val="32"/>
          <w:szCs w:val="32"/>
          <w:lang w:val="en-US" w:eastAsia="zh-CN" w:bidi="ar-SA"/>
        </w:rPr>
        <w:t>春</w:t>
      </w:r>
      <w:r>
        <w:rPr>
          <w:rFonts w:hint="eastAsia" w:ascii="仿宋_GB2312" w:hAnsi="仿宋_GB2312" w:eastAsia="仿宋_GB2312" w:cs="仿宋_GB2312"/>
          <w:color w:val="auto"/>
          <w:kern w:val="2"/>
          <w:sz w:val="32"/>
          <w:szCs w:val="32"/>
          <w:highlight w:val="none"/>
          <w:lang w:val="en-US" w:eastAsia="zh-CN" w:bidi="ar-SA"/>
        </w:rPr>
        <w:t>游秋游</w:t>
      </w:r>
      <w:bookmarkEnd w:id="44"/>
      <w:r>
        <w:rPr>
          <w:rFonts w:hint="eastAsia" w:ascii="仿宋_GB2312" w:hAnsi="仿宋_GB2312" w:eastAsia="仿宋_GB2312" w:cs="仿宋_GB2312"/>
          <w:color w:val="auto"/>
          <w:kern w:val="2"/>
          <w:sz w:val="32"/>
          <w:szCs w:val="32"/>
          <w:highlight w:val="none"/>
          <w:lang w:val="en-US" w:eastAsia="zh-CN" w:bidi="ar-SA"/>
        </w:rPr>
        <w:t>，范围限于省内，每年最多不超过4次，单次往返时间不超过2天1晚</w:t>
      </w:r>
      <w:r>
        <w:rPr>
          <w:rFonts w:hint="eastAsia" w:ascii="仿宋_GB2312" w:hAnsi="仿宋_GB2312" w:eastAsia="仿宋_GB2312" w:cs="仿宋_GB2312"/>
          <w:b/>
          <w:bCs/>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不得到有关部门明令禁止的风景名胜区开展相关活动，不得开支景区门票费、导游费、泡温泉费等。</w:t>
      </w:r>
      <w:bookmarkStart w:id="45" w:name="OLE_LINK28"/>
    </w:p>
    <w:p w14:paraId="3B6AA858">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2.春</w:t>
      </w:r>
      <w:r>
        <w:rPr>
          <w:rFonts w:hint="eastAsia" w:ascii="仿宋_GB2312" w:hAnsi="仿宋_GB2312" w:eastAsia="仿宋_GB2312" w:cs="仿宋_GB2312"/>
          <w:color w:val="auto"/>
          <w:kern w:val="2"/>
          <w:sz w:val="32"/>
          <w:szCs w:val="32"/>
          <w:highlight w:val="none"/>
          <w:lang w:val="en-US" w:eastAsia="zh-CN" w:bidi="ar-SA"/>
        </w:rPr>
        <w:t>游秋游活</w:t>
      </w:r>
      <w:r>
        <w:rPr>
          <w:rFonts w:hint="eastAsia" w:ascii="仿宋_GB2312" w:hAnsi="仿宋_GB2312" w:eastAsia="仿宋_GB2312" w:cs="仿宋_GB2312"/>
          <w:b w:val="0"/>
          <w:bCs w:val="0"/>
          <w:color w:val="auto"/>
          <w:kern w:val="2"/>
          <w:sz w:val="32"/>
          <w:szCs w:val="32"/>
          <w:highlight w:val="none"/>
          <w:lang w:val="en-US" w:eastAsia="zh-CN" w:bidi="ar-SA"/>
        </w:rPr>
        <w:t>动</w:t>
      </w:r>
      <w:bookmarkEnd w:id="45"/>
      <w:r>
        <w:rPr>
          <w:rFonts w:hint="eastAsia" w:ascii="仿宋_GB2312" w:hAnsi="仿宋_GB2312" w:eastAsia="仿宋_GB2312" w:cs="仿宋_GB2312"/>
          <w:b w:val="0"/>
          <w:bCs w:val="0"/>
          <w:color w:val="auto"/>
          <w:kern w:val="2"/>
          <w:sz w:val="32"/>
          <w:szCs w:val="32"/>
          <w:highlight w:val="none"/>
          <w:lang w:val="en-US" w:eastAsia="zh-CN" w:bidi="ar-SA"/>
        </w:rPr>
        <w:t>标准：会员春</w:t>
      </w:r>
      <w:r>
        <w:rPr>
          <w:rFonts w:hint="eastAsia" w:ascii="仿宋_GB2312" w:hAnsi="仿宋_GB2312" w:eastAsia="仿宋_GB2312" w:cs="仿宋_GB2312"/>
          <w:color w:val="auto"/>
          <w:kern w:val="2"/>
          <w:sz w:val="32"/>
          <w:szCs w:val="32"/>
          <w:highlight w:val="none"/>
          <w:lang w:val="en-US" w:eastAsia="zh-CN" w:bidi="ar-SA"/>
        </w:rPr>
        <w:t>游秋游活</w:t>
      </w:r>
      <w:r>
        <w:rPr>
          <w:rFonts w:hint="eastAsia" w:ascii="仿宋_GB2312" w:hAnsi="仿宋_GB2312" w:eastAsia="仿宋_GB2312" w:cs="仿宋_GB2312"/>
          <w:b w:val="0"/>
          <w:bCs w:val="0"/>
          <w:color w:val="auto"/>
          <w:kern w:val="2"/>
          <w:sz w:val="32"/>
          <w:szCs w:val="32"/>
          <w:highlight w:val="none"/>
          <w:lang w:val="en-US" w:eastAsia="zh-CN" w:bidi="ar-SA"/>
        </w:rPr>
        <w:t>动</w:t>
      </w:r>
      <w:r>
        <w:rPr>
          <w:rFonts w:hint="eastAsia" w:ascii="仿宋_GB2312" w:hAnsi="仿宋_GB2312" w:eastAsia="仿宋_GB2312" w:cs="仿宋_GB2312"/>
          <w:color w:val="auto"/>
          <w:sz w:val="32"/>
          <w:szCs w:val="32"/>
          <w:highlight w:val="none"/>
          <w:lang w:val="en-US" w:eastAsia="zh-CN"/>
        </w:rPr>
        <w:t>时间标准按</w:t>
      </w:r>
      <w:bookmarkStart w:id="46" w:name="OLE_LINK29"/>
      <w:r>
        <w:rPr>
          <w:rFonts w:hint="eastAsia" w:ascii="仿宋_GB2312" w:hAnsi="仿宋_GB2312" w:eastAsia="仿宋_GB2312" w:cs="仿宋_GB2312"/>
          <w:color w:val="auto"/>
          <w:sz w:val="32"/>
          <w:szCs w:val="32"/>
          <w:highlight w:val="none"/>
          <w:lang w:val="en-US" w:eastAsia="zh-CN"/>
        </w:rPr>
        <w:t>2天1晚</w:t>
      </w:r>
      <w:bookmarkEnd w:id="46"/>
      <w:r>
        <w:rPr>
          <w:rFonts w:hint="eastAsia" w:ascii="仿宋_GB2312" w:hAnsi="仿宋_GB2312" w:eastAsia="仿宋_GB2312" w:cs="仿宋_GB2312"/>
          <w:color w:val="auto"/>
          <w:sz w:val="32"/>
          <w:szCs w:val="32"/>
          <w:highlight w:val="none"/>
          <w:lang w:val="en-US" w:eastAsia="zh-CN"/>
        </w:rPr>
        <w:t>或1天组织开展，其中</w:t>
      </w:r>
      <w:r>
        <w:rPr>
          <w:rFonts w:hint="eastAsia" w:ascii="仿宋_GB2312" w:hAnsi="仿宋_GB2312" w:eastAsia="仿宋_GB2312" w:cs="仿宋_GB2312"/>
          <w:color w:val="auto"/>
          <w:sz w:val="32"/>
          <w:szCs w:val="32"/>
          <w:highlight w:val="none"/>
          <w:u w:val="none"/>
          <w:lang w:val="en-US" w:eastAsia="zh-CN"/>
        </w:rPr>
        <w:t>按</w:t>
      </w:r>
      <w:r>
        <w:rPr>
          <w:rFonts w:hint="eastAsia" w:ascii="仿宋_GB2312" w:hAnsi="仿宋_GB2312" w:eastAsia="仿宋_GB2312" w:cs="仿宋_GB2312"/>
          <w:color w:val="auto"/>
          <w:sz w:val="32"/>
          <w:szCs w:val="32"/>
          <w:highlight w:val="none"/>
          <w:lang w:val="en-US" w:eastAsia="zh-CN"/>
        </w:rPr>
        <w:t>2天1晚</w:t>
      </w:r>
      <w:r>
        <w:rPr>
          <w:rFonts w:hint="eastAsia" w:ascii="仿宋_GB2312" w:hAnsi="仿宋_GB2312" w:eastAsia="仿宋_GB2312" w:cs="仿宋_GB2312"/>
          <w:color w:val="auto"/>
          <w:sz w:val="32"/>
          <w:szCs w:val="32"/>
          <w:highlight w:val="none"/>
          <w:u w:val="none"/>
          <w:lang w:val="en-US" w:eastAsia="zh-CN"/>
        </w:rPr>
        <w:t>组织开展</w:t>
      </w:r>
      <w:bookmarkStart w:id="47" w:name="OLE_LINK30"/>
      <w:r>
        <w:rPr>
          <w:rFonts w:hint="eastAsia" w:ascii="仿宋_GB2312" w:hAnsi="仿宋_GB2312" w:eastAsia="仿宋_GB2312" w:cs="仿宋_GB2312"/>
          <w:b w:val="0"/>
          <w:bCs w:val="0"/>
          <w:color w:val="auto"/>
          <w:kern w:val="2"/>
          <w:sz w:val="32"/>
          <w:szCs w:val="32"/>
          <w:highlight w:val="none"/>
          <w:lang w:val="en-US" w:eastAsia="zh-CN" w:bidi="ar-SA"/>
        </w:rPr>
        <w:t>会员春</w:t>
      </w:r>
      <w:r>
        <w:rPr>
          <w:rFonts w:hint="eastAsia" w:ascii="仿宋_GB2312" w:hAnsi="仿宋_GB2312" w:eastAsia="仿宋_GB2312" w:cs="仿宋_GB2312"/>
          <w:color w:val="auto"/>
          <w:kern w:val="2"/>
          <w:sz w:val="32"/>
          <w:szCs w:val="32"/>
          <w:highlight w:val="none"/>
          <w:lang w:val="en-US" w:eastAsia="zh-CN" w:bidi="ar-SA"/>
        </w:rPr>
        <w:t>游秋游活</w:t>
      </w:r>
      <w:r>
        <w:rPr>
          <w:rFonts w:hint="eastAsia" w:ascii="仿宋_GB2312" w:hAnsi="仿宋_GB2312" w:eastAsia="仿宋_GB2312" w:cs="仿宋_GB2312"/>
          <w:b w:val="0"/>
          <w:bCs w:val="0"/>
          <w:color w:val="auto"/>
          <w:kern w:val="2"/>
          <w:sz w:val="32"/>
          <w:szCs w:val="32"/>
          <w:highlight w:val="none"/>
          <w:lang w:val="en-US" w:eastAsia="zh-CN" w:bidi="ar-SA"/>
        </w:rPr>
        <w:t>动</w:t>
      </w:r>
      <w:bookmarkEnd w:id="47"/>
      <w:r>
        <w:rPr>
          <w:rFonts w:hint="eastAsia" w:ascii="仿宋_GB2312" w:hAnsi="仿宋_GB2312" w:eastAsia="仿宋_GB2312" w:cs="仿宋_GB2312"/>
          <w:color w:val="auto"/>
          <w:sz w:val="32"/>
          <w:szCs w:val="32"/>
          <w:highlight w:val="none"/>
          <w:u w:val="none"/>
          <w:lang w:val="en-US" w:eastAsia="zh-CN"/>
        </w:rPr>
        <w:t>费用人均不超过430元/人标准（不含食宿、交通费）；按一天组织开展</w:t>
      </w:r>
      <w:r>
        <w:rPr>
          <w:rFonts w:hint="eastAsia" w:ascii="仿宋_GB2312" w:hAnsi="仿宋_GB2312" w:eastAsia="仿宋_GB2312" w:cs="仿宋_GB2312"/>
          <w:b w:val="0"/>
          <w:bCs w:val="0"/>
          <w:color w:val="auto"/>
          <w:kern w:val="2"/>
          <w:sz w:val="32"/>
          <w:szCs w:val="32"/>
          <w:highlight w:val="none"/>
          <w:lang w:val="en-US" w:eastAsia="zh-CN" w:bidi="ar-SA"/>
        </w:rPr>
        <w:t>会员春</w:t>
      </w:r>
      <w:r>
        <w:rPr>
          <w:rFonts w:hint="eastAsia" w:ascii="仿宋_GB2312" w:hAnsi="仿宋_GB2312" w:eastAsia="仿宋_GB2312" w:cs="仿宋_GB2312"/>
          <w:color w:val="auto"/>
          <w:kern w:val="2"/>
          <w:sz w:val="32"/>
          <w:szCs w:val="32"/>
          <w:highlight w:val="none"/>
          <w:lang w:val="en-US" w:eastAsia="zh-CN" w:bidi="ar-SA"/>
        </w:rPr>
        <w:t>游秋游活</w:t>
      </w:r>
      <w:r>
        <w:rPr>
          <w:rFonts w:hint="eastAsia" w:ascii="仿宋_GB2312" w:hAnsi="仿宋_GB2312" w:eastAsia="仿宋_GB2312" w:cs="仿宋_GB2312"/>
          <w:b w:val="0"/>
          <w:bCs w:val="0"/>
          <w:color w:val="auto"/>
          <w:kern w:val="2"/>
          <w:sz w:val="32"/>
          <w:szCs w:val="32"/>
          <w:highlight w:val="none"/>
          <w:lang w:val="en-US" w:eastAsia="zh-CN" w:bidi="ar-SA"/>
        </w:rPr>
        <w:t>动</w:t>
      </w:r>
      <w:r>
        <w:rPr>
          <w:rFonts w:hint="eastAsia" w:ascii="仿宋_GB2312" w:hAnsi="仿宋_GB2312" w:eastAsia="仿宋_GB2312" w:cs="仿宋_GB2312"/>
          <w:color w:val="auto"/>
          <w:sz w:val="32"/>
          <w:szCs w:val="32"/>
          <w:highlight w:val="none"/>
          <w:u w:val="none"/>
          <w:lang w:val="en-US" w:eastAsia="zh-CN"/>
        </w:rPr>
        <w:t>费用人均不超过280元/人标准（不含</w:t>
      </w:r>
      <w:r>
        <w:rPr>
          <w:rFonts w:hint="eastAsia" w:ascii="仿宋_GB2312" w:hAnsi="仿宋_GB2312" w:eastAsia="仿宋_GB2312" w:cs="仿宋_GB2312"/>
          <w:b w:val="0"/>
          <w:bCs w:val="0"/>
          <w:color w:val="auto"/>
          <w:kern w:val="2"/>
          <w:sz w:val="32"/>
          <w:szCs w:val="32"/>
          <w:highlight w:val="none"/>
          <w:lang w:val="en-US" w:eastAsia="zh-CN" w:bidi="ar-SA"/>
        </w:rPr>
        <w:t>工作餐</w:t>
      </w:r>
      <w:r>
        <w:rPr>
          <w:rFonts w:hint="eastAsia" w:ascii="仿宋_GB2312" w:hAnsi="仿宋_GB2312" w:eastAsia="仿宋_GB2312" w:cs="仿宋_GB2312"/>
          <w:color w:val="auto"/>
          <w:sz w:val="32"/>
          <w:szCs w:val="32"/>
          <w:highlight w:val="none"/>
          <w:u w:val="none"/>
          <w:lang w:val="en-US" w:eastAsia="zh-CN"/>
        </w:rPr>
        <w:t>、交通费），外出活动路程不得超过400公里（原则在贵州省内）。</w:t>
      </w:r>
      <w:r>
        <w:rPr>
          <w:rFonts w:hint="eastAsia" w:ascii="仿宋_GB2312" w:hAnsi="仿宋_GB2312" w:eastAsia="仿宋_GB2312" w:cs="仿宋_GB2312"/>
          <w:color w:val="auto"/>
          <w:kern w:val="2"/>
          <w:sz w:val="32"/>
          <w:szCs w:val="32"/>
          <w:highlight w:val="none"/>
          <w:lang w:val="en-US" w:eastAsia="zh-CN" w:bidi="ar-SA"/>
        </w:rPr>
        <w:t>组织春秋游活动时，确需在外就餐的，可以安排工作餐，并参照文体活动工作餐标准执行，工作餐应附就餐人员名单及发票，不得以现金形式发放；</w:t>
      </w:r>
      <w:r>
        <w:rPr>
          <w:rFonts w:hint="eastAsia" w:ascii="Calibri" w:hAnsi="Calibri" w:eastAsia="仿宋_GB2312" w:cs="Times New Roman"/>
          <w:color w:val="auto"/>
          <w:kern w:val="2"/>
          <w:sz w:val="32"/>
          <w:szCs w:val="22"/>
          <w:highlight w:val="none"/>
          <w:lang w:val="en-US" w:eastAsia="zh-CN" w:bidi="ar-SA"/>
        </w:rPr>
        <w:t>所产生的</w:t>
      </w:r>
      <w:r>
        <w:rPr>
          <w:rFonts w:hint="eastAsia" w:eastAsia="仿宋_GB2312" w:cs="Times New Roman"/>
          <w:color w:val="auto"/>
          <w:kern w:val="2"/>
          <w:sz w:val="32"/>
          <w:szCs w:val="22"/>
          <w:highlight w:val="none"/>
          <w:lang w:val="en-US" w:eastAsia="zh-CN" w:bidi="ar-SA"/>
        </w:rPr>
        <w:t>住宿</w:t>
      </w:r>
      <w:r>
        <w:rPr>
          <w:rFonts w:hint="eastAsia" w:ascii="Calibri" w:hAnsi="Calibri" w:eastAsia="仿宋_GB2312" w:cs="Times New Roman"/>
          <w:color w:val="auto"/>
          <w:kern w:val="2"/>
          <w:sz w:val="32"/>
          <w:szCs w:val="22"/>
          <w:highlight w:val="none"/>
          <w:lang w:val="en-US" w:eastAsia="zh-CN" w:bidi="ar-SA"/>
        </w:rPr>
        <w:t>、交通等费用参照</w:t>
      </w:r>
      <w:r>
        <w:rPr>
          <w:rFonts w:hint="eastAsia" w:ascii="仿宋_GB2312" w:hAnsi="仿宋_GB2312" w:eastAsia="仿宋_GB2312" w:cs="仿宋_GB2312"/>
          <w:color w:val="auto"/>
          <w:kern w:val="2"/>
          <w:sz w:val="32"/>
          <w:szCs w:val="32"/>
          <w:highlight w:val="none"/>
          <w:lang w:val="en-US" w:eastAsia="zh-CN"/>
        </w:rPr>
        <w:t>《茅台学院差旅费管理办法》</w:t>
      </w:r>
      <w:r>
        <w:rPr>
          <w:rFonts w:hint="eastAsia" w:ascii="Calibri" w:hAnsi="Calibri" w:eastAsia="仿宋_GB2312" w:cs="Times New Roman"/>
          <w:color w:val="auto"/>
          <w:kern w:val="2"/>
          <w:sz w:val="32"/>
          <w:szCs w:val="22"/>
          <w:lang w:val="en-US" w:eastAsia="zh-CN" w:bidi="ar-SA"/>
        </w:rPr>
        <w:t>的相关要求及标准</w:t>
      </w:r>
      <w:r>
        <w:rPr>
          <w:rFonts w:hint="eastAsia" w:eastAsia="仿宋_GB2312" w:cs="Times New Roman"/>
          <w:color w:val="auto"/>
          <w:kern w:val="2"/>
          <w:sz w:val="32"/>
          <w:szCs w:val="22"/>
          <w:lang w:val="en-US" w:eastAsia="zh-CN" w:bidi="ar-SA"/>
        </w:rPr>
        <w:t>执行</w:t>
      </w:r>
      <w:r>
        <w:rPr>
          <w:rFonts w:hint="eastAsia" w:ascii="仿宋_GB2312" w:hAnsi="仿宋_GB2312" w:eastAsia="仿宋_GB2312" w:cs="仿宋_GB2312"/>
          <w:color w:val="auto"/>
          <w:sz w:val="32"/>
          <w:szCs w:val="32"/>
          <w:u w:val="none"/>
          <w:lang w:val="en-US" w:eastAsia="zh-CN"/>
        </w:rPr>
        <w:t>。</w:t>
      </w:r>
    </w:p>
    <w:p w14:paraId="0EA3437F">
      <w:pPr>
        <w:pStyle w:val="8"/>
        <w:keepNext w:val="0"/>
        <w:keepLines w:val="0"/>
        <w:pageBreakBefore w:val="0"/>
        <w:numPr>
          <w:ilvl w:val="0"/>
          <w:numId w:val="0"/>
        </w:numPr>
        <w:kinsoku/>
        <w:wordWrap/>
        <w:overflowPunct/>
        <w:topLinePunct w:val="0"/>
        <w:autoSpaceDE/>
        <w:autoSpaceDN/>
        <w:bidi w:val="0"/>
        <w:adjustRightInd/>
        <w:snapToGrid/>
        <w:spacing w:line="576" w:lineRule="exact"/>
        <w:ind w:firstLine="640" w:firstLineChars="200"/>
        <w:jc w:val="both"/>
        <w:outlineLvl w:val="0"/>
        <w:rPr>
          <w:rFonts w:hint="eastAsia" w:ascii="仿宋_GB2312" w:hAnsi="仿宋_GB2312" w:eastAsia="仿宋_GB2312" w:cs="仿宋_GB2312"/>
          <w:color w:val="auto"/>
          <w:kern w:val="2"/>
          <w:sz w:val="32"/>
          <w:szCs w:val="32"/>
          <w:highlight w:val="none"/>
          <w:u w:val="none"/>
          <w:lang w:val="en-US" w:eastAsia="zh-CN" w:bidi="ar-SA"/>
        </w:rPr>
      </w:pPr>
      <w:bookmarkStart w:id="48" w:name="OLE_LINK37"/>
      <w:r>
        <w:rPr>
          <w:rFonts w:hint="eastAsia" w:ascii="仿宋_GB2312" w:hAnsi="仿宋_GB2312" w:eastAsia="仿宋_GB2312" w:cs="仿宋_GB2312"/>
          <w:color w:val="auto"/>
          <w:kern w:val="2"/>
          <w:sz w:val="32"/>
          <w:szCs w:val="32"/>
          <w:highlight w:val="none"/>
          <w:u w:val="none"/>
          <w:lang w:val="en-US" w:eastAsia="zh-CN" w:bidi="ar-SA"/>
        </w:rPr>
        <w:t>3.学校工会可结合实际每年发放一次工会消费券，用于购买日用消费品、文化旅游产品和脱贫地区农特产品等，每人每年不超过300元，具体发放标准、发放方式和起止时限由工会根据单位工会会员活动开展和经费保障情况制定活动方案，并经工会相关会议研究讨论通过后开展。</w:t>
      </w:r>
      <w:bookmarkEnd w:id="48"/>
    </w:p>
    <w:p w14:paraId="6302AF5B">
      <w:pPr>
        <w:keepNext w:val="0"/>
        <w:keepLines w:val="0"/>
        <w:pageBreakBefore w:val="0"/>
        <w:wordWrap/>
        <w:overflowPunct/>
        <w:topLinePunct w:val="0"/>
        <w:bidi w:val="0"/>
        <w:spacing w:line="576" w:lineRule="exact"/>
        <w:ind w:right="152" w:firstLine="640" w:firstLineChars="200"/>
        <w:jc w:val="both"/>
        <w:rPr>
          <w:rFonts w:hint="eastAsia" w:ascii="仿宋_GB2312" w:hAnsi="仿宋_GB2312" w:eastAsia="仿宋_GB2312" w:cs="仿宋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（六）慰问活动支出。</w:t>
      </w:r>
      <w:r>
        <w:rPr>
          <w:rFonts w:hint="eastAsia" w:ascii="仿宋_GB2312" w:hAnsi="仿宋_GB2312" w:eastAsia="仿宋_GB2312" w:cs="仿宋_GB2312"/>
          <w:color w:val="auto"/>
          <w:kern w:val="2"/>
          <w:sz w:val="32"/>
          <w:szCs w:val="32"/>
          <w:lang w:val="en-US" w:eastAsia="zh-CN" w:bidi="ar-SA"/>
        </w:rPr>
        <w:t>用于学校工会</w:t>
      </w:r>
      <w:bookmarkStart w:id="49" w:name="OLE_LINK123"/>
      <w:r>
        <w:rPr>
          <w:rFonts w:hint="eastAsia" w:ascii="仿宋_GB2312" w:hAnsi="仿宋_GB2312" w:eastAsia="仿宋_GB2312" w:cs="仿宋_GB2312"/>
          <w:color w:val="auto"/>
          <w:kern w:val="2"/>
          <w:sz w:val="32"/>
          <w:szCs w:val="32"/>
          <w:lang w:val="en-US" w:eastAsia="zh-CN" w:bidi="ar-SA"/>
        </w:rPr>
        <w:t>逢年过节面向全体会员开展的节日慰问</w:t>
      </w:r>
      <w:bookmarkEnd w:id="49"/>
      <w:r>
        <w:rPr>
          <w:rFonts w:hint="eastAsia" w:ascii="仿宋_GB2312" w:hAnsi="仿宋_GB2312" w:eastAsia="仿宋_GB2312" w:cs="仿宋_GB2312"/>
          <w:color w:val="auto"/>
          <w:kern w:val="2"/>
          <w:sz w:val="32"/>
          <w:szCs w:val="32"/>
          <w:lang w:val="en-US" w:eastAsia="zh-CN" w:bidi="ar-SA"/>
        </w:rPr>
        <w:t>；在会员生日、婚丧嫁娶、生病住院、退休离岗时进行的慰问。</w:t>
      </w:r>
    </w:p>
    <w:p w14:paraId="0262A593">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kern w:val="2"/>
          <w:sz w:val="32"/>
          <w:szCs w:val="32"/>
          <w:lang w:val="en-US" w:eastAsia="zh-CN" w:bidi="ar-SA"/>
        </w:rPr>
      </w:pPr>
      <w:bookmarkStart w:id="50" w:name="OLE_LINK124"/>
      <w:bookmarkStart w:id="51" w:name="OLE_LINK38"/>
      <w:r>
        <w:rPr>
          <w:rFonts w:hint="eastAsia" w:ascii="仿宋_GB2312" w:hAnsi="仿宋_GB2312" w:eastAsia="仿宋_GB2312" w:cs="仿宋_GB2312"/>
          <w:color w:val="auto"/>
          <w:kern w:val="2"/>
          <w:sz w:val="32"/>
          <w:szCs w:val="32"/>
          <w:lang w:val="en-US" w:eastAsia="zh-CN" w:bidi="ar-SA"/>
        </w:rPr>
        <w:t>1.逢年过节是指国家规定的全体公民放假的节日，即：元旦节、春节、清明节、劳动节、端午节、中秋节、国庆节等七个节日，发放标准为按法定放假天数每天不超过200元，即春节不超过800元、国庆节不超过600元、劳动节不超过400元、其他节日每个节日不超过200元；经省以上人民政府批准设立的少数民族节日，每个节日不超过200元。节日慰问品原则上为符合中国传统节日习惯的用品和教职工群众必需的生活用品等，工会可结合工作实际采取工会会员普惠卡等方便教职工会员的发放方式，但不得发放现金、购物卡和代金券。</w:t>
      </w:r>
    </w:p>
    <w:bookmarkEnd w:id="50"/>
    <w:p w14:paraId="72E97AA6">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sz w:val="32"/>
          <w:szCs w:val="32"/>
          <w:highlight w:val="none"/>
          <w:lang w:val="en-US" w:eastAsia="zh-CN"/>
        </w:rPr>
      </w:pPr>
      <w:bookmarkStart w:id="52" w:name="OLE_LINK122"/>
      <w:bookmarkStart w:id="53" w:name="OLE_LINK125"/>
      <w:r>
        <w:rPr>
          <w:rFonts w:hint="eastAsia" w:ascii="仿宋_GB2312" w:hAnsi="仿宋_GB2312" w:eastAsia="仿宋_GB2312" w:cs="仿宋_GB2312"/>
          <w:color w:val="auto"/>
          <w:kern w:val="2"/>
          <w:sz w:val="32"/>
          <w:szCs w:val="32"/>
          <w:lang w:val="en-US" w:eastAsia="zh-CN" w:bidi="ar-SA"/>
        </w:rPr>
        <w:t>2.工会会员生日慰问支出。工会在会员生日的当月发放不超过400元的生日慰问品，可以以蛋糕等实物慰问品或指定蛋糕店的蛋糕券，也可结合工会工作实际采取工会会员普惠卡等方便教职工会员的发放方式，但不得发放现金、购物卡和代金券；另</w:t>
      </w:r>
      <w:r>
        <w:rPr>
          <w:rFonts w:hint="eastAsia" w:ascii="仿宋_GB2312" w:hAnsi="仿宋_GB2312" w:eastAsia="仿宋_GB2312" w:cs="仿宋_GB2312"/>
          <w:color w:val="auto"/>
          <w:kern w:val="2"/>
          <w:sz w:val="32"/>
          <w:szCs w:val="32"/>
          <w:highlight w:val="none"/>
          <w:lang w:val="en-US" w:eastAsia="zh-CN" w:bidi="ar-SA"/>
        </w:rPr>
        <w:t>工会可</w:t>
      </w:r>
      <w:r>
        <w:rPr>
          <w:rFonts w:hint="eastAsia" w:ascii="仿宋_GB2312" w:hAnsi="仿宋_GB2312" w:eastAsia="仿宋_GB2312" w:cs="仿宋_GB2312"/>
          <w:color w:val="auto"/>
          <w:sz w:val="32"/>
          <w:szCs w:val="32"/>
          <w:highlight w:val="none"/>
          <w:lang w:val="en-US" w:eastAsia="zh-CN"/>
        </w:rPr>
        <w:t>按</w:t>
      </w:r>
      <w:r>
        <w:rPr>
          <w:rFonts w:hint="eastAsia" w:ascii="仿宋_GB2312" w:hAnsi="仿宋_GB2312" w:eastAsia="仿宋_GB2312" w:cs="仿宋_GB2312"/>
          <w:color w:val="auto"/>
          <w:kern w:val="2"/>
          <w:sz w:val="32"/>
          <w:szCs w:val="32"/>
          <w:highlight w:val="none"/>
          <w:lang w:val="en-US" w:eastAsia="zh-CN" w:bidi="ar-SA"/>
        </w:rPr>
        <w:t>人均不超过100元的标准按</w:t>
      </w:r>
      <w:r>
        <w:rPr>
          <w:rFonts w:hint="eastAsia" w:ascii="仿宋_GB2312" w:hAnsi="仿宋_GB2312" w:eastAsia="仿宋_GB2312" w:cs="仿宋_GB2312"/>
          <w:color w:val="auto"/>
          <w:sz w:val="32"/>
          <w:szCs w:val="32"/>
          <w:highlight w:val="none"/>
          <w:lang w:val="en-US" w:eastAsia="zh-CN"/>
        </w:rPr>
        <w:t>季度组织开展集体生日活动，如有特殊原因的，至少</w:t>
      </w:r>
      <w:r>
        <w:rPr>
          <w:rFonts w:hint="eastAsia" w:ascii="仿宋_GB2312" w:hAnsi="仿宋_GB2312" w:eastAsia="仿宋_GB2312" w:cs="仿宋_GB2312"/>
          <w:b w:val="0"/>
          <w:bCs w:val="0"/>
          <w:color w:val="auto"/>
          <w:kern w:val="2"/>
          <w:sz w:val="32"/>
          <w:szCs w:val="32"/>
          <w:highlight w:val="none"/>
          <w:lang w:val="en-US" w:eastAsia="zh-CN" w:bidi="ar-SA"/>
        </w:rPr>
        <w:t>每半年或一年</w:t>
      </w:r>
      <w:r>
        <w:rPr>
          <w:rFonts w:hint="eastAsia" w:ascii="仿宋_GB2312" w:hAnsi="仿宋_GB2312" w:eastAsia="仿宋_GB2312" w:cs="仿宋_GB2312"/>
          <w:color w:val="auto"/>
          <w:sz w:val="32"/>
          <w:szCs w:val="32"/>
          <w:highlight w:val="none"/>
          <w:lang w:val="en-US" w:eastAsia="zh-CN"/>
        </w:rPr>
        <w:t>开展一次</w:t>
      </w:r>
      <w:bookmarkEnd w:id="52"/>
      <w:r>
        <w:rPr>
          <w:rFonts w:hint="eastAsia" w:ascii="仿宋_GB2312" w:hAnsi="仿宋_GB2312" w:eastAsia="仿宋_GB2312" w:cs="仿宋_GB2312"/>
          <w:color w:val="auto"/>
          <w:sz w:val="32"/>
          <w:szCs w:val="32"/>
          <w:highlight w:val="none"/>
          <w:lang w:val="en-US" w:eastAsia="zh-CN"/>
        </w:rPr>
        <w:t>。</w:t>
      </w:r>
      <w:bookmarkEnd w:id="53"/>
    </w:p>
    <w:p w14:paraId="40CD7AE3">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default" w:ascii="仿宋_GB2312" w:hAnsi="仿宋_GB2312" w:eastAsia="仿宋_GB2312" w:cs="仿宋_GB2312"/>
          <w:color w:val="auto"/>
          <w:sz w:val="32"/>
          <w:szCs w:val="32"/>
          <w:highlight w:val="yellow"/>
          <w:lang w:val="en-US" w:eastAsia="zh-CN"/>
        </w:rPr>
      </w:pPr>
      <w:r>
        <w:rPr>
          <w:rFonts w:hint="eastAsia" w:ascii="仿宋_GB2312" w:hAnsi="仿宋_GB2312" w:eastAsia="仿宋_GB2312" w:cs="仿宋_GB2312"/>
          <w:color w:val="auto"/>
          <w:kern w:val="2"/>
          <w:sz w:val="32"/>
          <w:szCs w:val="32"/>
          <w:lang w:val="en-US" w:eastAsia="zh-CN" w:bidi="ar-SA"/>
        </w:rPr>
        <w:t>3.工会在册在职会员及其直系亲属去世慰问。工会在册在职会员去世时，可以给予不超过2000元的慰问品（金）；其直系亲属去世时，可以给予</w:t>
      </w:r>
      <w:r>
        <w:rPr>
          <w:rFonts w:hint="eastAsia" w:ascii="仿宋_GB2312" w:hAnsi="仿宋_GB2312" w:eastAsia="仿宋_GB2312" w:cs="仿宋_GB2312"/>
          <w:color w:val="auto"/>
          <w:kern w:val="2"/>
          <w:sz w:val="32"/>
          <w:szCs w:val="32"/>
          <w:highlight w:val="none"/>
          <w:lang w:val="en-US" w:eastAsia="zh-CN" w:bidi="ar-SA"/>
        </w:rPr>
        <w:t>不超过1000元的慰问品（金）；可按当地风俗习惯以学校工会名义购买花圈等祭奠用品，具体根据《中国贵州茅台酒厂（集团）有限责任公司关爱工程管理规定》的相关范围及标准执行；直系亲属指会员本人的配偶、父母（包括配偶的父母）和子女，以及共同生活的</w:t>
      </w:r>
      <w:r>
        <w:rPr>
          <w:rFonts w:hint="eastAsia" w:ascii="仿宋_GB2312" w:hAnsi="仿宋_GB2312" w:eastAsia="仿宋_GB2312" w:cs="仿宋_GB2312"/>
          <w:color w:val="auto"/>
          <w:kern w:val="2"/>
          <w:sz w:val="32"/>
          <w:szCs w:val="32"/>
          <w:lang w:val="en-US" w:eastAsia="zh-CN" w:bidi="ar-SA"/>
        </w:rPr>
        <w:t>继（养）父母。</w:t>
      </w:r>
      <w:bookmarkStart w:id="54" w:name="OLE_LINK97"/>
      <w:r>
        <w:rPr>
          <w:rFonts w:hint="eastAsia" w:ascii="仿宋_GB2312" w:hAnsi="仿宋_GB2312" w:eastAsia="仿宋_GB2312" w:cs="仿宋_GB2312"/>
          <w:color w:val="auto"/>
          <w:kern w:val="2"/>
          <w:sz w:val="32"/>
          <w:szCs w:val="32"/>
          <w:lang w:val="en-US" w:eastAsia="zh-CN" w:bidi="ar-SA"/>
        </w:rPr>
        <w:t>同一事由只能申请一次慰问。</w:t>
      </w:r>
    </w:p>
    <w:bookmarkEnd w:id="51"/>
    <w:bookmarkEnd w:id="54"/>
    <w:p w14:paraId="17DEC41E">
      <w:pPr>
        <w:pStyle w:val="8"/>
        <w:keepNext w:val="0"/>
        <w:keepLines w:val="0"/>
        <w:pageBreakBefore w:val="0"/>
        <w:kinsoku/>
        <w:wordWrap/>
        <w:overflowPunct/>
        <w:topLinePunct w:val="0"/>
        <w:autoSpaceDE/>
        <w:autoSpaceDN/>
        <w:bidi w:val="0"/>
        <w:adjustRightInd/>
        <w:snapToGrid/>
        <w:spacing w:line="576" w:lineRule="exact"/>
        <w:ind w:left="0" w:leftChars="0" w:firstLine="601" w:firstLineChars="0"/>
        <w:jc w:val="both"/>
        <w:outlineLvl w:val="0"/>
        <w:rPr>
          <w:rFonts w:hint="eastAsia" w:ascii="仿宋_GB2312" w:hAnsi="仿宋_GB2312" w:eastAsia="仿宋_GB2312" w:cs="仿宋_GB2312"/>
          <w:color w:val="auto"/>
          <w:sz w:val="32"/>
          <w:szCs w:val="32"/>
          <w:highlight w:val="none"/>
          <w:lang w:val="en-US" w:eastAsia="zh-CN"/>
        </w:rPr>
      </w:pPr>
      <w:bookmarkStart w:id="55" w:name="OLE_LINK42"/>
      <w:r>
        <w:rPr>
          <w:rFonts w:hint="eastAsia" w:ascii="仿宋_GB2312" w:hAnsi="仿宋_GB2312" w:eastAsia="仿宋_GB2312" w:cs="仿宋_GB2312"/>
          <w:color w:val="auto"/>
          <w:sz w:val="32"/>
          <w:szCs w:val="32"/>
          <w:lang w:val="en-US" w:eastAsia="zh-CN"/>
        </w:rPr>
        <w:t>4.会员结婚慰问。工会会员符合政策的结婚，工会可以给予每个会员不超过1</w:t>
      </w:r>
      <w:r>
        <w:rPr>
          <w:rFonts w:hint="eastAsia" w:ascii="仿宋_GB2312" w:hAnsi="仿宋_GB2312" w:eastAsia="仿宋_GB2312" w:cs="仿宋_GB2312"/>
          <w:color w:val="auto"/>
          <w:sz w:val="32"/>
          <w:szCs w:val="32"/>
          <w:highlight w:val="none"/>
          <w:lang w:val="en-US" w:eastAsia="zh-CN"/>
        </w:rPr>
        <w:t>000元的慰问品（金），复婚、再婚的除外，慰问时间应在结婚登记日起6个月内</w:t>
      </w:r>
      <w:r>
        <w:rPr>
          <w:rFonts w:hint="eastAsia" w:ascii="仿宋_GB2312" w:hAnsi="仿宋_GB2312" w:eastAsia="仿宋_GB2312" w:cs="仿宋_GB2312"/>
          <w:color w:val="auto"/>
          <w:sz w:val="32"/>
          <w:szCs w:val="32"/>
          <w:lang w:val="en-US" w:eastAsia="zh-CN"/>
        </w:rPr>
        <w:t>。</w:t>
      </w:r>
    </w:p>
    <w:bookmarkEnd w:id="55"/>
    <w:p w14:paraId="76A4A3AB">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sz w:val="32"/>
          <w:szCs w:val="32"/>
          <w:highlight w:val="none"/>
          <w:lang w:val="en-US" w:eastAsia="zh-CN"/>
        </w:rPr>
      </w:pPr>
      <w:bookmarkStart w:id="56" w:name="OLE_LINK89"/>
      <w:r>
        <w:rPr>
          <w:rFonts w:hint="eastAsia" w:ascii="仿宋_GB2312" w:hAnsi="仿宋_GB2312" w:eastAsia="仿宋_GB2312" w:cs="仿宋_GB2312"/>
          <w:color w:val="auto"/>
          <w:sz w:val="32"/>
          <w:szCs w:val="32"/>
          <w:highlight w:val="none"/>
          <w:lang w:val="en-US" w:eastAsia="zh-CN"/>
        </w:rPr>
        <w:t>5.会员生育慰问。工会会员符合国家政策生育的，工会可向会员发放生育慰问品（金）</w:t>
      </w:r>
      <w:bookmarkStart w:id="57" w:name="OLE_LINK41"/>
      <w:r>
        <w:rPr>
          <w:rFonts w:hint="eastAsia" w:ascii="仿宋_GB2312" w:hAnsi="仿宋_GB2312" w:eastAsia="仿宋_GB2312" w:cs="仿宋_GB2312"/>
          <w:color w:val="auto"/>
          <w:sz w:val="32"/>
          <w:szCs w:val="32"/>
          <w:highlight w:val="none"/>
          <w:lang w:val="en-US" w:eastAsia="zh-CN"/>
        </w:rPr>
        <w:t>，慰问时间应在孩子出生日</w:t>
      </w:r>
      <w:bookmarkEnd w:id="57"/>
      <w:r>
        <w:rPr>
          <w:rFonts w:hint="eastAsia" w:ascii="仿宋_GB2312" w:hAnsi="仿宋_GB2312" w:eastAsia="仿宋_GB2312" w:cs="仿宋_GB2312"/>
          <w:color w:val="auto"/>
          <w:sz w:val="32"/>
          <w:szCs w:val="32"/>
          <w:highlight w:val="none"/>
          <w:lang w:val="en-US" w:eastAsia="zh-CN"/>
        </w:rPr>
        <w:t>起6个月内。慰问标准为：生育第一个孩子1000元、生育第二个孩子1500元、生育第三个孩子2000元；生育第三个以上孩子的，按照每个孩子2000元的标准慰问；上述生育慰问以</w:t>
      </w:r>
      <w:bookmarkStart w:id="58" w:name="OLE_LINK19"/>
      <w:r>
        <w:rPr>
          <w:rFonts w:hint="eastAsia" w:ascii="仿宋_GB2312" w:hAnsi="仿宋_GB2312" w:eastAsia="仿宋_GB2312" w:cs="仿宋_GB2312"/>
          <w:color w:val="auto"/>
          <w:sz w:val="32"/>
          <w:szCs w:val="32"/>
          <w:highlight w:val="none"/>
          <w:lang w:val="en-US" w:eastAsia="zh-CN"/>
        </w:rPr>
        <w:t>《生育服务证》中登记的孩次</w:t>
      </w:r>
      <w:bookmarkEnd w:id="58"/>
      <w:r>
        <w:rPr>
          <w:rFonts w:hint="eastAsia" w:ascii="仿宋_GB2312" w:hAnsi="仿宋_GB2312" w:eastAsia="仿宋_GB2312" w:cs="仿宋_GB2312"/>
          <w:color w:val="auto"/>
          <w:sz w:val="32"/>
          <w:szCs w:val="32"/>
          <w:highlight w:val="none"/>
          <w:lang w:val="en-US" w:eastAsia="zh-CN"/>
        </w:rPr>
        <w:t>按标准进行慰问。重组家庭中，如发生新的生育行为，则根据《生育服务证》中登记的孩次，按上述标准进行慰问。</w:t>
      </w:r>
      <w:bookmarkStart w:id="59" w:name="OLE_LINK44"/>
    </w:p>
    <w:bookmarkEnd w:id="56"/>
    <w:bookmarkEnd w:id="59"/>
    <w:p w14:paraId="7575DE9F">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kern w:val="2"/>
          <w:sz w:val="32"/>
          <w:szCs w:val="32"/>
          <w:lang w:val="en-US" w:eastAsia="zh-CN" w:bidi="ar-SA"/>
        </w:rPr>
      </w:pPr>
      <w:bookmarkStart w:id="60" w:name="OLE_LINK45"/>
      <w:r>
        <w:rPr>
          <w:rFonts w:hint="eastAsia" w:ascii="仿宋_GB2312" w:hAnsi="仿宋_GB2312" w:eastAsia="仿宋_GB2312" w:cs="仿宋_GB2312"/>
          <w:color w:val="auto"/>
          <w:kern w:val="2"/>
          <w:sz w:val="32"/>
          <w:szCs w:val="32"/>
          <w:lang w:val="en-US" w:eastAsia="zh-CN" w:bidi="ar-SA"/>
        </w:rPr>
        <w:t>6.会员退休慰问。工会会员</w:t>
      </w:r>
      <w:bookmarkStart w:id="61" w:name="OLE_LINK34"/>
      <w:r>
        <w:rPr>
          <w:rFonts w:hint="eastAsia" w:ascii="仿宋_GB2312" w:hAnsi="仿宋_GB2312" w:eastAsia="仿宋_GB2312" w:cs="仿宋_GB2312"/>
          <w:color w:val="auto"/>
          <w:kern w:val="2"/>
          <w:sz w:val="32"/>
          <w:szCs w:val="32"/>
          <w:lang w:val="en-US" w:eastAsia="zh-CN" w:bidi="ar-SA"/>
        </w:rPr>
        <w:t>退休离岗</w:t>
      </w:r>
      <w:bookmarkEnd w:id="61"/>
      <w:r>
        <w:rPr>
          <w:rFonts w:hint="eastAsia" w:ascii="仿宋_GB2312" w:hAnsi="仿宋_GB2312" w:eastAsia="仿宋_GB2312" w:cs="仿宋_GB2312"/>
          <w:color w:val="auto"/>
          <w:kern w:val="2"/>
          <w:sz w:val="32"/>
          <w:szCs w:val="32"/>
          <w:lang w:val="en-US" w:eastAsia="zh-CN" w:bidi="ar-SA"/>
        </w:rPr>
        <w:t>，可以给予一次性不超过1000元的</w:t>
      </w:r>
      <w:bookmarkStart w:id="62" w:name="OLE_LINK109"/>
      <w:r>
        <w:rPr>
          <w:rFonts w:hint="eastAsia" w:ascii="仿宋_GB2312" w:hAnsi="仿宋_GB2312" w:eastAsia="仿宋_GB2312" w:cs="仿宋_GB2312"/>
          <w:color w:val="auto"/>
          <w:kern w:val="2"/>
          <w:sz w:val="32"/>
          <w:szCs w:val="32"/>
          <w:lang w:val="en-US" w:eastAsia="zh-CN" w:bidi="ar-SA"/>
        </w:rPr>
        <w:t>慰问品（金）</w:t>
      </w:r>
      <w:bookmarkEnd w:id="62"/>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退休离岗时工会可以为</w:t>
      </w:r>
      <w:r>
        <w:rPr>
          <w:rFonts w:hint="eastAsia" w:ascii="仿宋_GB2312" w:hAnsi="仿宋_GB2312" w:eastAsia="仿宋_GB2312" w:cs="仿宋_GB2312"/>
          <w:color w:val="auto"/>
          <w:kern w:val="2"/>
          <w:sz w:val="32"/>
          <w:szCs w:val="32"/>
          <w:lang w:val="en-US" w:eastAsia="zh-CN" w:bidi="ar-SA"/>
        </w:rPr>
        <w:t>会员（单人或集体）举办一次简洁的欢送座谈会，座谈会组织费用不计入退休离岗慰问标准内。</w:t>
      </w:r>
      <w:bookmarkEnd w:id="60"/>
    </w:p>
    <w:p w14:paraId="7A26CCC0">
      <w:pPr>
        <w:keepNext w:val="0"/>
        <w:keepLines w:val="0"/>
        <w:pageBreakBefore w:val="0"/>
        <w:wordWrap/>
        <w:overflowPunct/>
        <w:topLinePunct w:val="0"/>
        <w:bidi w:val="0"/>
        <w:spacing w:line="576" w:lineRule="exact"/>
        <w:ind w:right="38" w:firstLine="640" w:firstLineChars="200"/>
        <w:jc w:val="both"/>
        <w:rPr>
          <w:rFonts w:hint="eastAsia" w:ascii="仿宋_GB2312" w:hAnsi="仿宋_GB2312" w:eastAsia="仿宋_GB2312" w:cs="仿宋_GB2312"/>
          <w:b/>
          <w:bCs/>
          <w:color w:val="auto"/>
          <w:kern w:val="2"/>
          <w:sz w:val="32"/>
          <w:szCs w:val="32"/>
          <w:highlight w:val="none"/>
          <w:lang w:val="en-US" w:eastAsia="zh-CN" w:bidi="ar-SA"/>
        </w:rPr>
      </w:pPr>
      <w:bookmarkStart w:id="63" w:name="OLE_LINK108"/>
      <w:bookmarkStart w:id="64" w:name="OLE_LINK48"/>
      <w:r>
        <w:rPr>
          <w:rFonts w:hint="eastAsia" w:ascii="仿宋_GB2312" w:hAnsi="仿宋_GB2312" w:eastAsia="仿宋_GB2312" w:cs="仿宋_GB2312"/>
          <w:color w:val="auto"/>
          <w:kern w:val="2"/>
          <w:sz w:val="32"/>
          <w:szCs w:val="32"/>
          <w:highlight w:val="none"/>
          <w:lang w:val="en-US" w:eastAsia="zh-CN" w:bidi="ar-SA"/>
        </w:rPr>
        <w:t>7.会员生病慰问。</w:t>
      </w:r>
      <w:bookmarkStart w:id="65" w:name="OLE_LINK39"/>
      <w:r>
        <w:rPr>
          <w:rFonts w:hint="eastAsia" w:ascii="仿宋_GB2312" w:hAnsi="仿宋_GB2312" w:eastAsia="仿宋_GB2312" w:cs="仿宋_GB2312"/>
          <w:color w:val="auto"/>
          <w:kern w:val="2"/>
          <w:sz w:val="32"/>
          <w:szCs w:val="32"/>
          <w:highlight w:val="none"/>
          <w:lang w:val="en-US" w:eastAsia="zh-CN" w:bidi="ar-SA"/>
        </w:rPr>
        <w:t>工会会员生病住院，根据医疗费用个人负担情况，给予500—2000元的慰问品(金),同一会员每年慰问不超过两次。</w:t>
      </w:r>
      <w:bookmarkEnd w:id="65"/>
      <w:bookmarkStart w:id="66" w:name="OLE_LINK43"/>
      <w:r>
        <w:rPr>
          <w:rFonts w:hint="eastAsia" w:ascii="仿宋_GB2312" w:hAnsi="仿宋_GB2312" w:eastAsia="仿宋_GB2312" w:cs="仿宋_GB2312"/>
          <w:color w:val="auto"/>
          <w:kern w:val="2"/>
          <w:sz w:val="32"/>
          <w:szCs w:val="32"/>
          <w:highlight w:val="none"/>
          <w:lang w:val="en-US" w:eastAsia="zh-CN" w:bidi="ar-SA"/>
        </w:rPr>
        <w:t>具体慰问如下：社保报销后自付费用1000元以</w:t>
      </w:r>
      <w:bookmarkStart w:id="67" w:name="OLE_LINK47"/>
      <w:r>
        <w:rPr>
          <w:rFonts w:hint="eastAsia" w:ascii="仿宋_GB2312" w:hAnsi="仿宋_GB2312" w:eastAsia="仿宋_GB2312" w:cs="仿宋_GB2312"/>
          <w:color w:val="auto"/>
          <w:kern w:val="2"/>
          <w:sz w:val="32"/>
          <w:szCs w:val="32"/>
          <w:highlight w:val="none"/>
          <w:lang w:val="en-US" w:eastAsia="zh-CN" w:bidi="ar-SA"/>
        </w:rPr>
        <w:t>下</w:t>
      </w:r>
      <w:bookmarkEnd w:id="67"/>
      <w:r>
        <w:rPr>
          <w:rFonts w:hint="eastAsia" w:ascii="仿宋_GB2312" w:hAnsi="仿宋_GB2312" w:eastAsia="仿宋_GB2312" w:cs="仿宋_GB2312"/>
          <w:color w:val="auto"/>
          <w:kern w:val="2"/>
          <w:sz w:val="32"/>
          <w:szCs w:val="32"/>
          <w:highlight w:val="none"/>
          <w:lang w:val="en-US" w:eastAsia="zh-CN" w:bidi="ar-SA"/>
        </w:rPr>
        <w:t>，则按照不超过500元的标准进行慰问；</w:t>
      </w:r>
      <w:bookmarkEnd w:id="66"/>
      <w:r>
        <w:rPr>
          <w:rFonts w:hint="eastAsia" w:ascii="仿宋_GB2312" w:hAnsi="仿宋_GB2312" w:eastAsia="仿宋_GB2312" w:cs="仿宋_GB2312"/>
          <w:color w:val="auto"/>
          <w:kern w:val="2"/>
          <w:sz w:val="32"/>
          <w:szCs w:val="32"/>
          <w:highlight w:val="none"/>
          <w:lang w:val="en-US" w:eastAsia="zh-CN" w:bidi="ar-SA"/>
        </w:rPr>
        <w:t>社保报销后自付费用1000以上2000元以下，则按照不超过1000元的标准进行慰问；社保报销后自付费用2000以上3000元以下，则按照不超过1500元的标准进行慰问；社保报销后自付费用3000元以上的，则按照不超过2000元的标准进行慰问</w:t>
      </w:r>
      <w:r>
        <w:rPr>
          <w:rFonts w:hint="eastAsia" w:ascii="仿宋_GB2312" w:hAnsi="仿宋_GB2312" w:eastAsia="仿宋_GB2312" w:cs="仿宋_GB2312"/>
          <w:color w:val="auto"/>
          <w:sz w:val="32"/>
          <w:szCs w:val="32"/>
          <w:lang w:val="en-US" w:eastAsia="zh-CN"/>
        </w:rPr>
        <w:t>。</w:t>
      </w:r>
      <w:bookmarkEnd w:id="63"/>
    </w:p>
    <w:bookmarkEnd w:id="64"/>
    <w:p w14:paraId="79228586">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kern w:val="2"/>
          <w:sz w:val="32"/>
          <w:szCs w:val="32"/>
          <w:lang w:val="en-US" w:eastAsia="zh-CN" w:bidi="ar-SA"/>
        </w:rPr>
      </w:pPr>
      <w:bookmarkStart w:id="68" w:name="OLE_LINK49"/>
      <w:r>
        <w:rPr>
          <w:rFonts w:hint="eastAsia" w:ascii="楷体_GB2312" w:hAnsi="楷体_GB2312" w:eastAsia="楷体_GB2312" w:cs="楷体_GB2312"/>
          <w:color w:val="auto"/>
          <w:kern w:val="2"/>
          <w:sz w:val="32"/>
          <w:szCs w:val="32"/>
          <w:lang w:val="en-US" w:eastAsia="zh-CN" w:bidi="ar-SA"/>
        </w:rPr>
        <w:t>（七）其他活动支出。</w:t>
      </w:r>
      <w:r>
        <w:rPr>
          <w:rFonts w:hint="eastAsia" w:ascii="仿宋_GB2312" w:hAnsi="仿宋_GB2312" w:eastAsia="仿宋_GB2312" w:cs="仿宋_GB2312"/>
          <w:color w:val="auto"/>
          <w:kern w:val="2"/>
          <w:sz w:val="32"/>
          <w:szCs w:val="32"/>
          <w:lang w:val="en-US" w:eastAsia="zh-CN" w:bidi="ar-SA"/>
        </w:rPr>
        <w:t>用于工会开展的其他活动的各项支出。</w:t>
      </w:r>
      <w:r>
        <w:rPr>
          <w:rFonts w:hint="eastAsia" w:ascii="仿宋_GB2312" w:hAnsi="仿宋_GB2312" w:eastAsia="仿宋_GB2312" w:cs="仿宋_GB2312"/>
          <w:color w:val="auto"/>
          <w:kern w:val="2"/>
          <w:sz w:val="32"/>
          <w:szCs w:val="32"/>
          <w:highlight w:val="none"/>
          <w:lang w:val="en-US" w:eastAsia="zh-CN" w:bidi="ar-SA"/>
        </w:rPr>
        <w:t>工会可在“六一”儿童节对符合条件的教职工子女开展关爱慰问，每个慰问对象不超过200元慰问品（金）。符合条件的教职工子女指：在册在职会员的亲生子女、合法收养的子女或其他具有法定抚养关系的未成年人，子女年龄应在14岁（含）以下。此外，若教职工双方均在同一单位工作，则其子女只能享受一次慰问。</w:t>
      </w:r>
    </w:p>
    <w:bookmarkEnd w:id="68"/>
    <w:p w14:paraId="659832E5">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kern w:val="2"/>
          <w:sz w:val="32"/>
          <w:szCs w:val="32"/>
          <w:lang w:val="en-US" w:eastAsia="zh-CN" w:bidi="ar-SA"/>
        </w:rPr>
      </w:pPr>
      <w:bookmarkStart w:id="69" w:name="OLE_LINK50"/>
      <w:r>
        <w:rPr>
          <w:rFonts w:hint="eastAsia" w:ascii="黑体" w:hAnsi="黑体" w:eastAsia="黑体" w:cs="黑体"/>
          <w:color w:val="auto"/>
          <w:w w:val="99"/>
          <w:kern w:val="2"/>
          <w:sz w:val="32"/>
          <w:szCs w:val="32"/>
          <w:lang w:val="en-US" w:eastAsia="zh-CN" w:bidi="ar-SA"/>
        </w:rPr>
        <w:t>第八条</w:t>
      </w:r>
      <w:bookmarkEnd w:id="69"/>
      <w:r>
        <w:rPr>
          <w:rFonts w:hint="eastAsia" w:ascii="黑体" w:hAnsi="黑体" w:eastAsia="黑体" w:cs="黑体"/>
          <w:color w:val="auto"/>
          <w:w w:val="99"/>
          <w:kern w:val="2"/>
          <w:sz w:val="32"/>
          <w:szCs w:val="32"/>
          <w:lang w:val="en-US" w:eastAsia="zh-CN" w:bidi="ar-SA"/>
        </w:rPr>
        <w:t xml:space="preserve">  </w:t>
      </w:r>
      <w:r>
        <w:rPr>
          <w:rFonts w:hint="eastAsia" w:ascii="仿宋_GB2312" w:hAnsi="仿宋_GB2312" w:eastAsia="仿宋_GB2312" w:cs="仿宋_GB2312"/>
          <w:color w:val="auto"/>
          <w:kern w:val="2"/>
          <w:sz w:val="32"/>
          <w:szCs w:val="32"/>
          <w:lang w:val="en-US" w:eastAsia="zh-CN" w:bidi="ar-SA"/>
        </w:rPr>
        <w:t>教职工服务支出是指工会开展教职工劳动和技能竞赛活动、职工创新活动、工会建家活动、职工书屋建设、职工互助保障、职工心理咨询、职工健康生活等工作发生的支出。</w:t>
      </w:r>
    </w:p>
    <w:p w14:paraId="3B09A9A5">
      <w:pPr>
        <w:keepNext w:val="0"/>
        <w:keepLines w:val="0"/>
        <w:pageBreakBefore w:val="0"/>
        <w:wordWrap/>
        <w:overflowPunct/>
        <w:topLinePunct w:val="0"/>
        <w:bidi w:val="0"/>
        <w:spacing w:line="576" w:lineRule="exact"/>
        <w:ind w:right="38" w:firstLine="640" w:firstLineChars="200"/>
        <w:jc w:val="both"/>
        <w:rPr>
          <w:rFonts w:hint="eastAsia" w:ascii="仿宋_GB2312" w:hAnsi="仿宋_GB2312" w:eastAsia="仿宋_GB2312" w:cs="仿宋_GB2312"/>
          <w:color w:val="auto"/>
          <w:kern w:val="2"/>
          <w:sz w:val="32"/>
          <w:szCs w:val="32"/>
          <w:highlight w:val="yellow"/>
          <w:lang w:val="en-US" w:eastAsia="zh-CN" w:bidi="ar-SA"/>
        </w:rPr>
      </w:pPr>
      <w:r>
        <w:rPr>
          <w:rFonts w:hint="eastAsia" w:ascii="楷体_GB2312" w:hAnsi="楷体_GB2312" w:eastAsia="楷体_GB2312" w:cs="楷体_GB2312"/>
          <w:color w:val="auto"/>
          <w:kern w:val="2"/>
          <w:sz w:val="32"/>
          <w:szCs w:val="32"/>
          <w:lang w:val="en-US" w:eastAsia="zh-CN" w:bidi="ar-SA"/>
        </w:rPr>
        <w:t>（一）劳动和技能竞赛活动支出。</w:t>
      </w:r>
      <w:r>
        <w:rPr>
          <w:rFonts w:hint="eastAsia" w:ascii="仿宋_GB2312" w:hAnsi="仿宋_GB2312" w:eastAsia="仿宋_GB2312" w:cs="仿宋_GB2312"/>
          <w:color w:val="auto"/>
          <w:kern w:val="2"/>
          <w:sz w:val="32"/>
          <w:szCs w:val="32"/>
          <w:lang w:val="en-US" w:eastAsia="zh-CN" w:bidi="ar-SA"/>
        </w:rPr>
        <w:t>用于工会开展合理化建议、技术革新、发明创造、岗位练兵、技术比武、技术培训等劳动和技能竞赛</w:t>
      </w:r>
      <w:r>
        <w:rPr>
          <w:rFonts w:hint="eastAsia" w:ascii="仿宋_GB2312" w:hAnsi="仿宋_GB2312" w:eastAsia="仿宋_GB2312" w:cs="仿宋_GB2312"/>
          <w:color w:val="auto"/>
          <w:kern w:val="2"/>
          <w:sz w:val="32"/>
          <w:szCs w:val="32"/>
          <w:highlight w:val="none"/>
          <w:lang w:val="en-US" w:eastAsia="zh-CN" w:bidi="ar-SA"/>
        </w:rPr>
        <w:t>及“五小”竞赛等群众性创新活动发生的必要支出及其奖励支出</w:t>
      </w:r>
      <w:r>
        <w:rPr>
          <w:rFonts w:hint="eastAsia" w:ascii="仿宋_GB2312" w:hAnsi="仿宋_GB2312" w:eastAsia="仿宋_GB2312" w:cs="仿宋_GB2312"/>
          <w:color w:val="auto"/>
          <w:sz w:val="32"/>
          <w:szCs w:val="32"/>
          <w:lang w:val="en-US" w:eastAsia="zh-CN"/>
        </w:rPr>
        <w:t>。</w:t>
      </w:r>
    </w:p>
    <w:p w14:paraId="1B3B07AE">
      <w:pPr>
        <w:pStyle w:val="8"/>
        <w:keepNext w:val="0"/>
        <w:keepLines w:val="0"/>
        <w:pageBreakBefore w:val="0"/>
        <w:numPr>
          <w:ilvl w:val="0"/>
          <w:numId w:val="0"/>
        </w:numPr>
        <w:kinsoku/>
        <w:wordWrap/>
        <w:overflowPunct/>
        <w:topLinePunct w:val="0"/>
        <w:autoSpaceDE/>
        <w:autoSpaceDN/>
        <w:bidi w:val="0"/>
        <w:adjustRightInd/>
        <w:snapToGrid/>
        <w:spacing w:line="576" w:lineRule="exact"/>
        <w:ind w:left="0" w:leftChars="0" w:firstLine="601" w:firstLineChars="0"/>
        <w:jc w:val="both"/>
        <w:outlineLvl w:val="0"/>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kern w:val="2"/>
          <w:sz w:val="32"/>
          <w:szCs w:val="32"/>
          <w:lang w:val="en-US" w:eastAsia="zh-CN" w:bidi="ar-SA"/>
        </w:rPr>
        <w:t>（二）职工创新活动支出。</w:t>
      </w:r>
      <w:r>
        <w:rPr>
          <w:rFonts w:hint="eastAsia" w:ascii="仿宋_GB2312" w:hAnsi="仿宋_GB2312" w:eastAsia="仿宋_GB2312" w:cs="仿宋_GB2312"/>
          <w:color w:val="auto"/>
          <w:kern w:val="2"/>
          <w:sz w:val="32"/>
          <w:szCs w:val="32"/>
          <w:lang w:val="en-US" w:eastAsia="zh-CN" w:bidi="ar-SA"/>
        </w:rPr>
        <w:t>用于工会开展的劳模和教学创新工作、职工创新工作活动发生的支出。</w:t>
      </w:r>
      <w:bookmarkStart w:id="70" w:name="OLE_LINK62"/>
      <w:r>
        <w:rPr>
          <w:rFonts w:hint="eastAsia" w:ascii="仿宋_GB2312" w:hAnsi="仿宋_GB2312" w:eastAsia="仿宋_GB2312" w:cs="仿宋_GB2312"/>
          <w:color w:val="auto"/>
          <w:kern w:val="2"/>
          <w:sz w:val="32"/>
          <w:szCs w:val="32"/>
          <w:lang w:val="en-US" w:eastAsia="zh-CN" w:bidi="ar-SA"/>
        </w:rPr>
        <w:t>工会组织开展职工创新活动的，</w:t>
      </w:r>
      <w:r>
        <w:rPr>
          <w:rFonts w:hint="eastAsia" w:ascii="仿宋_GB2312" w:hAnsi="仿宋_GB2312" w:eastAsia="仿宋_GB2312" w:cs="仿宋_GB2312"/>
          <w:color w:val="auto"/>
          <w:sz w:val="32"/>
          <w:szCs w:val="32"/>
          <w:lang w:val="en-US" w:eastAsia="zh-CN"/>
        </w:rPr>
        <w:t>具体参照</w:t>
      </w:r>
      <w:bookmarkStart w:id="71" w:name="OLE_LINK53"/>
      <w:r>
        <w:rPr>
          <w:rFonts w:hint="eastAsia" w:ascii="仿宋_GB2312" w:hAnsi="仿宋_GB2312" w:eastAsia="仿宋_GB2312" w:cs="仿宋_GB2312"/>
          <w:color w:val="auto"/>
          <w:sz w:val="32"/>
          <w:szCs w:val="32"/>
          <w:lang w:val="en-US" w:eastAsia="zh-CN"/>
        </w:rPr>
        <w:t>《茅台集团创新工作室管理细则》</w:t>
      </w:r>
      <w:bookmarkEnd w:id="71"/>
      <w:r>
        <w:rPr>
          <w:rFonts w:hint="eastAsia" w:ascii="仿宋_GB2312" w:hAnsi="仿宋_GB2312" w:eastAsia="仿宋_GB2312" w:cs="仿宋_GB2312"/>
          <w:color w:val="auto"/>
          <w:sz w:val="32"/>
          <w:szCs w:val="32"/>
          <w:lang w:val="en-US" w:eastAsia="zh-CN"/>
        </w:rPr>
        <w:t>的标准执行</w:t>
      </w:r>
      <w:bookmarkEnd w:id="70"/>
      <w:r>
        <w:rPr>
          <w:rFonts w:hint="eastAsia" w:ascii="仿宋_GB2312" w:hAnsi="仿宋_GB2312" w:eastAsia="仿宋_GB2312" w:cs="仿宋_GB2312"/>
          <w:color w:val="auto"/>
          <w:sz w:val="32"/>
          <w:szCs w:val="32"/>
          <w:lang w:val="en-US" w:eastAsia="zh-CN"/>
        </w:rPr>
        <w:t>。</w:t>
      </w:r>
    </w:p>
    <w:p w14:paraId="3048900F">
      <w:pPr>
        <w:pStyle w:val="8"/>
        <w:keepNext w:val="0"/>
        <w:keepLines w:val="0"/>
        <w:pageBreakBefore w:val="0"/>
        <w:numPr>
          <w:ilvl w:val="0"/>
          <w:numId w:val="0"/>
        </w:numPr>
        <w:kinsoku/>
        <w:wordWrap/>
        <w:overflowPunct/>
        <w:topLinePunct w:val="0"/>
        <w:autoSpaceDE/>
        <w:autoSpaceDN/>
        <w:bidi w:val="0"/>
        <w:adjustRightInd/>
        <w:snapToGrid/>
        <w:spacing w:line="576" w:lineRule="exact"/>
        <w:ind w:firstLine="640" w:firstLineChars="200"/>
        <w:jc w:val="both"/>
        <w:outlineLvl w:val="0"/>
        <w:rPr>
          <w:rFonts w:hint="eastAsia" w:ascii="仿宋_GB2312" w:eastAsia="仿宋_GB2312" w:cs="Times New Roman"/>
          <w:color w:val="auto"/>
          <w:sz w:val="32"/>
          <w:szCs w:val="32"/>
          <w:lang w:val="en-US" w:eastAsia="zh-CN"/>
        </w:rPr>
      </w:pPr>
      <w:r>
        <w:rPr>
          <w:rFonts w:hint="eastAsia" w:ascii="楷体_GB2312" w:hAnsi="楷体_GB2312" w:eastAsia="楷体_GB2312" w:cs="楷体_GB2312"/>
          <w:color w:val="auto"/>
          <w:kern w:val="2"/>
          <w:sz w:val="32"/>
          <w:szCs w:val="32"/>
          <w:lang w:val="en-US" w:eastAsia="zh-CN" w:bidi="ar-SA"/>
        </w:rPr>
        <w:t>（三）工会建家活动支出。</w:t>
      </w:r>
      <w:r>
        <w:rPr>
          <w:rFonts w:hint="eastAsia" w:ascii="仿宋_GB2312" w:eastAsia="仿宋_GB2312" w:cs="Times New Roman"/>
          <w:color w:val="auto"/>
          <w:sz w:val="32"/>
          <w:szCs w:val="32"/>
          <w:lang w:val="en-US" w:eastAsia="zh-CN"/>
        </w:rPr>
        <w:t>用于工会组织建设、建家活动方面的支出，</w:t>
      </w:r>
      <w:r>
        <w:rPr>
          <w:rFonts w:hint="eastAsia" w:ascii="仿宋_GB2312" w:eastAsia="仿宋_GB2312" w:cs="Times New Roman"/>
          <w:color w:val="auto"/>
          <w:sz w:val="32"/>
          <w:szCs w:val="32"/>
          <w:highlight w:val="none"/>
          <w:lang w:val="en-US" w:eastAsia="zh-CN"/>
        </w:rPr>
        <w:t>主要用于建设模范职工之（小）家、工会驿站等</w:t>
      </w:r>
      <w:r>
        <w:rPr>
          <w:rFonts w:hint="eastAsia" w:ascii="仿宋_GB2312" w:hAnsi="仿宋_GB2312" w:eastAsia="仿宋_GB2312" w:cs="仿宋_GB2312"/>
          <w:color w:val="auto"/>
          <w:sz w:val="32"/>
          <w:szCs w:val="32"/>
          <w:highlight w:val="none"/>
          <w:lang w:val="en-US" w:eastAsia="zh-CN"/>
        </w:rPr>
        <w:t>公用设施的购买、配置及维修等</w:t>
      </w:r>
      <w:r>
        <w:rPr>
          <w:rFonts w:hint="eastAsia" w:ascii="仿宋_GB2312" w:eastAsia="仿宋_GB2312" w:cs="Times New Roman"/>
          <w:color w:val="auto"/>
          <w:sz w:val="32"/>
          <w:szCs w:val="32"/>
          <w:highlight w:val="none"/>
          <w:lang w:val="en-US" w:eastAsia="zh-CN"/>
        </w:rPr>
        <w:t>支</w:t>
      </w:r>
      <w:r>
        <w:rPr>
          <w:rFonts w:hint="eastAsia" w:ascii="仿宋_GB2312" w:eastAsia="仿宋_GB2312" w:cs="Times New Roman"/>
          <w:b w:val="0"/>
          <w:bCs w:val="0"/>
          <w:color w:val="auto"/>
          <w:sz w:val="32"/>
          <w:szCs w:val="32"/>
          <w:highlight w:val="none"/>
          <w:lang w:val="en-US" w:eastAsia="zh-CN"/>
        </w:rPr>
        <w:t>出</w:t>
      </w:r>
      <w:r>
        <w:rPr>
          <w:rFonts w:hint="eastAsia" w:ascii="仿宋_GB2312" w:hAnsi="仿宋_GB2312" w:eastAsia="仿宋_GB2312" w:cs="仿宋_GB2312"/>
          <w:b w:val="0"/>
          <w:bCs w:val="0"/>
          <w:color w:val="auto"/>
          <w:kern w:val="2"/>
          <w:sz w:val="32"/>
          <w:szCs w:val="32"/>
          <w:highlight w:val="none"/>
          <w:lang w:val="en-US" w:eastAsia="zh-CN" w:bidi="ar-SA"/>
        </w:rPr>
        <w:t>。</w:t>
      </w:r>
    </w:p>
    <w:p w14:paraId="33D8AD2B">
      <w:pPr>
        <w:pStyle w:val="8"/>
        <w:keepNext w:val="0"/>
        <w:keepLines w:val="0"/>
        <w:pageBreakBefore w:val="0"/>
        <w:numPr>
          <w:ilvl w:val="0"/>
          <w:numId w:val="0"/>
        </w:numPr>
        <w:kinsoku/>
        <w:wordWrap/>
        <w:overflowPunct/>
        <w:topLinePunct w:val="0"/>
        <w:autoSpaceDE/>
        <w:autoSpaceDN/>
        <w:bidi w:val="0"/>
        <w:adjustRightInd/>
        <w:snapToGrid/>
        <w:spacing w:line="576" w:lineRule="exact"/>
        <w:ind w:firstLine="640" w:firstLineChars="200"/>
        <w:jc w:val="both"/>
        <w:outlineLvl w:val="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1.启动经费：</w:t>
      </w:r>
      <w:bookmarkStart w:id="72" w:name="OLE_LINK68"/>
      <w:bookmarkStart w:id="73" w:name="OLE_LINK87"/>
      <w:r>
        <w:rPr>
          <w:rFonts w:hint="eastAsia" w:ascii="仿宋_GB2312" w:eastAsia="仿宋_GB2312"/>
          <w:color w:val="auto"/>
          <w:sz w:val="32"/>
          <w:szCs w:val="32"/>
          <w:highlight w:val="none"/>
          <w:lang w:val="en-US" w:eastAsia="zh-CN"/>
        </w:rPr>
        <w:t>工会（工会小组）具备条件建立</w:t>
      </w:r>
      <w:r>
        <w:rPr>
          <w:rFonts w:hint="eastAsia" w:ascii="仿宋_GB2312" w:hAnsi="仿宋_GB2312" w:eastAsia="仿宋_GB2312" w:cs="仿宋_GB2312"/>
          <w:color w:val="auto"/>
          <w:sz w:val="32"/>
          <w:szCs w:val="32"/>
          <w:highlight w:val="none"/>
          <w:lang w:val="en-US" w:eastAsia="zh-CN"/>
        </w:rPr>
        <w:t>职工之</w:t>
      </w:r>
      <w:bookmarkStart w:id="74" w:name="OLE_LINK63"/>
      <w:r>
        <w:rPr>
          <w:rFonts w:hint="eastAsia" w:ascii="仿宋_GB2312" w:hAnsi="仿宋_GB2312" w:eastAsia="仿宋_GB2312" w:cs="仿宋_GB2312"/>
          <w:color w:val="auto"/>
          <w:sz w:val="32"/>
          <w:szCs w:val="32"/>
          <w:highlight w:val="none"/>
          <w:lang w:val="en-US" w:eastAsia="zh-CN"/>
        </w:rPr>
        <w:t>（小）</w:t>
      </w:r>
      <w:bookmarkEnd w:id="74"/>
      <w:r>
        <w:rPr>
          <w:rFonts w:hint="eastAsia" w:ascii="仿宋_GB2312" w:hAnsi="仿宋_GB2312" w:eastAsia="仿宋_GB2312" w:cs="仿宋_GB2312"/>
          <w:color w:val="auto"/>
          <w:sz w:val="32"/>
          <w:szCs w:val="32"/>
          <w:highlight w:val="none"/>
          <w:lang w:val="en-US" w:eastAsia="zh-CN"/>
        </w:rPr>
        <w:t>家</w:t>
      </w:r>
      <w:r>
        <w:rPr>
          <w:rFonts w:hint="eastAsia" w:ascii="仿宋_GB2312" w:eastAsia="仿宋_GB2312"/>
          <w:color w:val="auto"/>
          <w:sz w:val="32"/>
          <w:szCs w:val="32"/>
          <w:highlight w:val="none"/>
          <w:lang w:val="en-US" w:eastAsia="zh-CN"/>
        </w:rPr>
        <w:t>的，经学校工会相关会议研究讨论通过后，可</w:t>
      </w:r>
      <w:bookmarkEnd w:id="72"/>
      <w:bookmarkEnd w:id="73"/>
      <w:r>
        <w:rPr>
          <w:rFonts w:hint="eastAsia" w:ascii="仿宋_GB2312" w:hAnsi="仿宋_GB2312" w:eastAsia="仿宋_GB2312" w:cs="仿宋_GB2312"/>
          <w:color w:val="auto"/>
          <w:sz w:val="32"/>
          <w:szCs w:val="32"/>
          <w:highlight w:val="none"/>
          <w:lang w:val="en-US" w:eastAsia="zh-CN"/>
        </w:rPr>
        <w:t>按在册在职会员人均不超过300元的标准申请启动经费，且只能申请一次</w:t>
      </w:r>
      <w:bookmarkStart w:id="75" w:name="OLE_LINK60"/>
      <w:r>
        <w:rPr>
          <w:rFonts w:hint="eastAsia" w:ascii="仿宋_GB2312" w:hAnsi="仿宋_GB2312" w:eastAsia="仿宋_GB2312" w:cs="仿宋_GB2312"/>
          <w:color w:val="auto"/>
          <w:sz w:val="32"/>
          <w:szCs w:val="32"/>
          <w:highlight w:val="none"/>
          <w:lang w:val="en-US" w:eastAsia="zh-CN"/>
        </w:rPr>
        <w:t>。</w:t>
      </w:r>
    </w:p>
    <w:bookmarkEnd w:id="75"/>
    <w:p w14:paraId="09885570">
      <w:pPr>
        <w:pStyle w:val="8"/>
        <w:keepNext w:val="0"/>
        <w:keepLines w:val="0"/>
        <w:pageBreakBefore w:val="0"/>
        <w:numPr>
          <w:ilvl w:val="0"/>
          <w:numId w:val="0"/>
        </w:numPr>
        <w:kinsoku/>
        <w:wordWrap/>
        <w:overflowPunct/>
        <w:topLinePunct w:val="0"/>
        <w:autoSpaceDE/>
        <w:autoSpaceDN/>
        <w:bidi w:val="0"/>
        <w:adjustRightInd/>
        <w:snapToGrid/>
        <w:spacing w:line="576" w:lineRule="exact"/>
        <w:ind w:firstLine="640" w:firstLineChars="200"/>
        <w:jc w:val="both"/>
        <w:outlineLvl w:val="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2.维护费：</w:t>
      </w:r>
      <w:r>
        <w:rPr>
          <w:rFonts w:hint="eastAsia" w:ascii="仿宋_GB2312" w:hAnsi="仿宋_GB2312" w:eastAsia="仿宋_GB2312" w:cs="仿宋_GB2312"/>
          <w:color w:val="auto"/>
          <w:sz w:val="32"/>
          <w:szCs w:val="32"/>
          <w:highlight w:val="none"/>
          <w:lang w:val="en-US" w:eastAsia="zh-CN"/>
        </w:rPr>
        <w:t>主要用于成立职工之（小）家后的所发生的必要的维护支出。职工之（小）家</w:t>
      </w:r>
      <w:bookmarkStart w:id="76" w:name="OLE_LINK56"/>
      <w:r>
        <w:rPr>
          <w:rFonts w:hint="eastAsia" w:ascii="仿宋_GB2312" w:hAnsi="仿宋_GB2312" w:eastAsia="仿宋_GB2312" w:cs="仿宋_GB2312"/>
          <w:color w:val="auto"/>
          <w:sz w:val="32"/>
          <w:szCs w:val="32"/>
          <w:highlight w:val="none"/>
          <w:lang w:val="en-US" w:eastAsia="zh-CN"/>
        </w:rPr>
        <w:t>维护费每半年可根据需求申请一次维护费，每次维护费申请不超过5000元的标准；</w:t>
      </w:r>
      <w:bookmarkEnd w:id="76"/>
    </w:p>
    <w:p w14:paraId="3FC8098E">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lang w:val="en-US" w:eastAsia="zh-CN"/>
        </w:rPr>
      </w:pPr>
      <w:bookmarkStart w:id="77" w:name="OLE_LINK51"/>
      <w:r>
        <w:rPr>
          <w:rFonts w:hint="eastAsia" w:ascii="楷体_GB2312" w:hAnsi="楷体_GB2312" w:eastAsia="楷体_GB2312" w:cs="楷体_GB2312"/>
          <w:color w:val="auto"/>
          <w:kern w:val="2"/>
          <w:sz w:val="32"/>
          <w:szCs w:val="32"/>
          <w:lang w:val="en-US" w:eastAsia="zh-CN" w:bidi="ar-SA"/>
        </w:rPr>
        <w:t>（四）职工书屋活动支出。</w:t>
      </w:r>
      <w:r>
        <w:rPr>
          <w:rFonts w:hint="eastAsia" w:ascii="仿宋_GB2312" w:hAnsi="仿宋_GB2312" w:eastAsia="仿宋_GB2312" w:cs="仿宋_GB2312"/>
          <w:color w:val="auto"/>
          <w:sz w:val="32"/>
          <w:szCs w:val="32"/>
          <w:lang w:val="en-US" w:eastAsia="zh-CN"/>
        </w:rPr>
        <w:t>用于为建设职工书屋而发生的图书购置（含电子图书）以及维护的支出。</w:t>
      </w:r>
    </w:p>
    <w:p w14:paraId="6DF60300">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olor w:val="auto"/>
          <w:sz w:val="32"/>
          <w:szCs w:val="32"/>
          <w:lang w:val="en-US" w:eastAsia="zh-CN"/>
        </w:rPr>
      </w:pPr>
      <w:bookmarkStart w:id="78" w:name="OLE_LINK65"/>
      <w:r>
        <w:rPr>
          <w:rFonts w:hint="eastAsia" w:ascii="仿宋_GB2312" w:eastAsia="仿宋_GB2312"/>
          <w:color w:val="auto"/>
          <w:sz w:val="32"/>
          <w:szCs w:val="32"/>
          <w:highlight w:val="none"/>
          <w:lang w:val="en-US" w:eastAsia="zh-CN"/>
        </w:rPr>
        <w:t>1.启动经费：</w:t>
      </w:r>
      <w:bookmarkEnd w:id="78"/>
      <w:bookmarkStart w:id="79" w:name="OLE_LINK55"/>
      <w:r>
        <w:rPr>
          <w:rFonts w:hint="eastAsia" w:ascii="仿宋_GB2312" w:eastAsia="仿宋_GB2312"/>
          <w:color w:val="auto"/>
          <w:sz w:val="32"/>
          <w:szCs w:val="32"/>
          <w:highlight w:val="none"/>
          <w:lang w:val="en-US" w:eastAsia="zh-CN"/>
        </w:rPr>
        <w:t>工会（工会小组）有条件成立职工书屋的，经学校工会相关会议研究讨论通过后</w:t>
      </w:r>
      <w:bookmarkEnd w:id="79"/>
      <w:r>
        <w:rPr>
          <w:rFonts w:hint="eastAsia" w:ascii="仿宋_GB2312" w:eastAsia="仿宋_GB2312"/>
          <w:color w:val="auto"/>
          <w:sz w:val="32"/>
          <w:szCs w:val="32"/>
          <w:highlight w:val="none"/>
          <w:lang w:val="en-US" w:eastAsia="zh-CN"/>
        </w:rPr>
        <w:t>，给予不超过20000元启动经费，用</w:t>
      </w:r>
      <w:r>
        <w:rPr>
          <w:rFonts w:hint="eastAsia" w:ascii="仿宋_GB2312" w:eastAsia="仿宋_GB2312"/>
          <w:color w:val="auto"/>
          <w:sz w:val="32"/>
          <w:szCs w:val="32"/>
          <w:lang w:val="en-US" w:eastAsia="zh-CN"/>
        </w:rPr>
        <w:t>于购置书架（柜）、书籍报刊及制作书屋牌匾、制度牌，职工书屋配置桌椅、电脑等其他费用不在此经费中列支。</w:t>
      </w:r>
    </w:p>
    <w:p w14:paraId="571005D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2.维护费：</w:t>
      </w:r>
      <w:r>
        <w:rPr>
          <w:rFonts w:hint="eastAsia" w:ascii="仿宋_GB2312" w:hAnsi="仿宋_GB2312" w:eastAsia="仿宋_GB2312" w:cs="仿宋_GB2312"/>
          <w:color w:val="auto"/>
          <w:sz w:val="32"/>
          <w:szCs w:val="32"/>
          <w:lang w:val="en-US" w:eastAsia="zh-CN"/>
        </w:rPr>
        <w:t>用于职工书屋的维护以及图书购买等方面的维护支出，可按照每年不超过2000元的标准申请维护支出。</w:t>
      </w:r>
    </w:p>
    <w:bookmarkEnd w:id="77"/>
    <w:p w14:paraId="4D6ABF79">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sz w:val="32"/>
          <w:szCs w:val="32"/>
          <w:lang w:val="en-US" w:eastAsia="zh-CN"/>
        </w:rPr>
      </w:pPr>
      <w:bookmarkStart w:id="80" w:name="OLE_LINK120"/>
      <w:r>
        <w:rPr>
          <w:rFonts w:hint="eastAsia" w:ascii="楷体_GB2312" w:hAnsi="楷体_GB2312" w:eastAsia="楷体_GB2312" w:cs="楷体_GB2312"/>
          <w:color w:val="auto"/>
          <w:kern w:val="2"/>
          <w:sz w:val="32"/>
          <w:szCs w:val="32"/>
          <w:lang w:val="en-US" w:eastAsia="zh-CN" w:bidi="ar-SA"/>
        </w:rPr>
        <w:t>（五）其他服务支出。</w:t>
      </w:r>
      <w:bookmarkEnd w:id="80"/>
      <w:r>
        <w:rPr>
          <w:rFonts w:hint="eastAsia" w:ascii="仿宋_GB2312" w:hAnsi="仿宋_GB2312" w:eastAsia="仿宋_GB2312" w:cs="仿宋_GB2312"/>
          <w:color w:val="auto"/>
          <w:sz w:val="32"/>
          <w:szCs w:val="32"/>
          <w:lang w:val="en-US" w:eastAsia="zh-CN"/>
        </w:rPr>
        <w:t>用于工会开展会员和职工普惠制服务、心理咨询、互助保障、职工健康生活等其他方面的支出。</w:t>
      </w:r>
    </w:p>
    <w:p w14:paraId="192B9C9C">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w w:val="99"/>
          <w:kern w:val="2"/>
          <w:sz w:val="32"/>
          <w:szCs w:val="32"/>
          <w:lang w:val="en-US" w:eastAsia="zh-CN" w:bidi="ar-SA"/>
        </w:rPr>
        <w:t xml:space="preserve">第九条  </w:t>
      </w:r>
      <w:r>
        <w:rPr>
          <w:rFonts w:hint="eastAsia" w:ascii="仿宋_GB2312" w:hAnsi="仿宋_GB2312" w:eastAsia="仿宋_GB2312" w:cs="仿宋_GB2312"/>
          <w:color w:val="auto"/>
          <w:sz w:val="32"/>
          <w:szCs w:val="32"/>
          <w:lang w:val="en-US" w:eastAsia="zh-CN"/>
        </w:rPr>
        <w:t>维权支出是指工会用于维护职工权益的支出。</w:t>
      </w:r>
    </w:p>
    <w:p w14:paraId="743978EF">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kern w:val="2"/>
          <w:sz w:val="32"/>
          <w:szCs w:val="32"/>
          <w:lang w:val="en-US" w:eastAsia="zh-CN" w:bidi="ar-SA"/>
        </w:rPr>
        <w:t>（一）劳动关系协调费。</w:t>
      </w:r>
      <w:r>
        <w:rPr>
          <w:rFonts w:hint="eastAsia" w:ascii="仿宋_GB2312" w:hAnsi="仿宋_GB2312" w:eastAsia="仿宋_GB2312" w:cs="仿宋_GB2312"/>
          <w:color w:val="auto"/>
          <w:sz w:val="32"/>
          <w:szCs w:val="32"/>
          <w:lang w:val="en-US" w:eastAsia="zh-CN"/>
        </w:rPr>
        <w:t>用于推进创建劳动关系和谐企业活动、加强劳动争议调解和队伍建设、开展劳动合同咨询活动、集体合同示范文本印制与推广等方面的支出。</w:t>
      </w:r>
    </w:p>
    <w:p w14:paraId="6514A0BB">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sz w:val="32"/>
          <w:szCs w:val="32"/>
          <w:lang w:val="en-US" w:eastAsia="zh-CN"/>
        </w:rPr>
      </w:pPr>
      <w:bookmarkStart w:id="81" w:name="OLE_LINK54"/>
      <w:r>
        <w:rPr>
          <w:rFonts w:hint="eastAsia" w:ascii="楷体_GB2312" w:hAnsi="楷体_GB2312" w:eastAsia="楷体_GB2312" w:cs="楷体_GB2312"/>
          <w:color w:val="auto"/>
          <w:kern w:val="2"/>
          <w:sz w:val="32"/>
          <w:szCs w:val="32"/>
          <w:lang w:val="en-US" w:eastAsia="zh-CN" w:bidi="ar-SA"/>
        </w:rPr>
        <w:t>（二）劳动保护费。</w:t>
      </w:r>
      <w:r>
        <w:rPr>
          <w:rFonts w:hint="eastAsia" w:ascii="仿宋_GB2312" w:hAnsi="仿宋_GB2312" w:eastAsia="仿宋_GB2312" w:cs="仿宋_GB2312"/>
          <w:color w:val="auto"/>
          <w:sz w:val="32"/>
          <w:szCs w:val="32"/>
          <w:lang w:val="en-US" w:eastAsia="zh-CN"/>
        </w:rPr>
        <w:t>用于工会开展群众性安全生产和职业病防治活动、加强群众安全监督检查员队伍建设、开展职工心理健康维护、</w:t>
      </w:r>
      <w:r>
        <w:rPr>
          <w:rFonts w:hint="eastAsia" w:ascii="仿宋_GB2312" w:hAnsi="仿宋_GB2312" w:eastAsia="仿宋_GB2312" w:cs="仿宋_GB2312"/>
          <w:color w:val="auto"/>
          <w:sz w:val="32"/>
          <w:szCs w:val="32"/>
          <w:highlight w:val="none"/>
          <w:lang w:val="en-US" w:eastAsia="zh-CN"/>
        </w:rPr>
        <w:t>“安康杯”竞赛活动，落实全国总工会“三个条例”加强“一会两员”队伍建设等劳动保护方面的支出</w:t>
      </w:r>
      <w:r>
        <w:rPr>
          <w:rFonts w:hint="eastAsia" w:ascii="仿宋_GB2312" w:hAnsi="仿宋_GB2312" w:eastAsia="仿宋_GB2312" w:cs="仿宋_GB2312"/>
          <w:color w:val="auto"/>
          <w:sz w:val="32"/>
          <w:szCs w:val="32"/>
          <w:lang w:val="en-US" w:eastAsia="zh-CN"/>
        </w:rPr>
        <w:t>。</w:t>
      </w:r>
      <w:bookmarkEnd w:id="81"/>
    </w:p>
    <w:p w14:paraId="7155327A">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kern w:val="2"/>
          <w:sz w:val="32"/>
          <w:szCs w:val="32"/>
          <w:lang w:val="en-US" w:eastAsia="zh-CN" w:bidi="ar-SA"/>
        </w:rPr>
        <w:t>（三）法律援助费。</w:t>
      </w:r>
      <w:r>
        <w:rPr>
          <w:rFonts w:hint="eastAsia" w:ascii="仿宋_GB2312" w:hAnsi="仿宋_GB2312" w:eastAsia="仿宋_GB2312" w:cs="仿宋_GB2312"/>
          <w:color w:val="auto"/>
          <w:sz w:val="32"/>
          <w:szCs w:val="32"/>
          <w:lang w:val="en-US" w:eastAsia="zh-CN"/>
        </w:rPr>
        <w:t>用于组织开展职工群众法治宣传、提供法律咨询、法律服务等发生的支出。</w:t>
      </w:r>
    </w:p>
    <w:p w14:paraId="1CADABD6">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sz w:val="32"/>
          <w:szCs w:val="32"/>
          <w:lang w:val="en-US" w:eastAsia="zh-CN"/>
        </w:rPr>
      </w:pPr>
      <w:bookmarkStart w:id="82" w:name="OLE_LINK58"/>
      <w:r>
        <w:rPr>
          <w:rFonts w:hint="eastAsia" w:ascii="楷体_GB2312" w:hAnsi="楷体_GB2312" w:eastAsia="楷体_GB2312" w:cs="楷体_GB2312"/>
          <w:color w:val="auto"/>
          <w:kern w:val="2"/>
          <w:sz w:val="32"/>
          <w:szCs w:val="32"/>
          <w:lang w:val="en-US" w:eastAsia="zh-CN" w:bidi="ar-SA"/>
        </w:rPr>
        <w:t>（四）困难职工帮扶支出。</w:t>
      </w:r>
      <w:bookmarkEnd w:id="82"/>
      <w:r>
        <w:rPr>
          <w:rFonts w:hint="eastAsia" w:ascii="仿宋_GB2312" w:hAnsi="仿宋_GB2312" w:eastAsia="仿宋_GB2312" w:cs="仿宋_GB2312"/>
          <w:color w:val="auto"/>
          <w:sz w:val="32"/>
          <w:szCs w:val="32"/>
          <w:lang w:val="en-US" w:eastAsia="zh-CN"/>
        </w:rPr>
        <w:t>用于工会对困难职工提供资金和物质帮助等发生的支出。工会会员本人及家庭因大病、意外事故、子女就学等原因致困时，工会可给予一定金额的慰问。学校工会应按照全国总工会和省总工会的要求，建立和完善困难职工档案，按全总、省总关于困难职工帮扶管理规定依档进行帮扶。</w:t>
      </w:r>
    </w:p>
    <w:p w14:paraId="382DA33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Autospacing="0" w:after="0" w:afterAutospacing="0" w:line="576" w:lineRule="exact"/>
        <w:ind w:left="0" w:leftChars="0" w:right="0" w:firstLine="640" w:firstLineChars="200"/>
        <w:jc w:val="left"/>
        <w:textAlignment w:val="baseline"/>
        <w:rPr>
          <w:rFonts w:hint="eastAsia" w:ascii="仿宋_GB2312" w:hAnsi="仿宋_GB2312" w:eastAsia="仿宋_GB2312" w:cs="仿宋_GB2312"/>
          <w:i w:val="0"/>
          <w:iCs w:val="0"/>
          <w:caps w:val="0"/>
          <w:color w:val="auto"/>
          <w:spacing w:val="0"/>
          <w:sz w:val="32"/>
          <w:szCs w:val="32"/>
          <w:vertAlign w:val="baseline"/>
          <w:lang w:val="en-US" w:eastAsia="zh-CN"/>
        </w:rPr>
      </w:pPr>
      <w:r>
        <w:rPr>
          <w:rFonts w:hint="eastAsia" w:ascii="仿宋_GB2312" w:hAnsi="仿宋_GB2312" w:eastAsia="仿宋_GB2312" w:cs="仿宋_GB2312"/>
          <w:color w:val="auto"/>
          <w:sz w:val="32"/>
          <w:szCs w:val="32"/>
          <w:lang w:val="en-US" w:eastAsia="zh-CN"/>
        </w:rPr>
        <w:t>1.帮扶困难员工的经费开支。学校教职工患重病（注：社保中重大医疗保险中指的重大疾病）因公死亡、受伤造成残疾的（残疾等级为一级）或家庭遭受意外、不可抗力事件造成家庭财产损失达到10万元及以上，导致家庭严重困难的，给予一等补助，补助金额为1万元；学校教职工患重病长期医治，导致家庭严重困难的，给予二等补助，补助金额为8000元；其他困难情况（如鳏、寡、孤、独等）导致家庭严重困难的，给予三等补助，补助金额为6000元</w:t>
      </w:r>
      <w:r>
        <w:rPr>
          <w:rFonts w:hint="eastAsia" w:ascii="仿宋_GB2312" w:hAnsi="仿宋_GB2312" w:eastAsia="仿宋_GB2312" w:cs="仿宋_GB2312"/>
          <w:color w:val="auto"/>
          <w:sz w:val="32"/>
          <w:szCs w:val="32"/>
          <w:highlight w:val="none"/>
          <w:lang w:val="en-US" w:eastAsia="zh-CN"/>
        </w:rPr>
        <w:t>。</w:t>
      </w:r>
      <w:bookmarkStart w:id="83" w:name="OLE_LINK71"/>
      <w:bookmarkStart w:id="84" w:name="OLE_LINK57"/>
      <w:r>
        <w:rPr>
          <w:rFonts w:hint="eastAsia" w:ascii="仿宋_GB2312" w:hAnsi="仿宋_GB2312" w:eastAsia="仿宋_GB2312" w:cs="仿宋_GB2312"/>
          <w:i w:val="0"/>
          <w:iCs w:val="0"/>
          <w:caps w:val="0"/>
          <w:color w:val="auto"/>
          <w:spacing w:val="0"/>
          <w:sz w:val="32"/>
          <w:szCs w:val="32"/>
          <w:highlight w:val="none"/>
          <w:shd w:val="clear" w:color="auto" w:fill="FFFFFF"/>
          <w:vertAlign w:val="baseline"/>
          <w:lang w:val="en-US" w:eastAsia="zh-CN"/>
        </w:rPr>
        <w:t>在册</w:t>
      </w:r>
      <w:r>
        <w:rPr>
          <w:rFonts w:hint="default" w:ascii="仿宋_GB2312" w:hAnsi="仿宋_GB2312" w:eastAsia="仿宋_GB2312" w:cs="仿宋_GB2312"/>
          <w:i w:val="0"/>
          <w:iCs w:val="0"/>
          <w:caps w:val="0"/>
          <w:color w:val="auto"/>
          <w:spacing w:val="0"/>
          <w:sz w:val="32"/>
          <w:szCs w:val="32"/>
          <w:highlight w:val="none"/>
          <w:shd w:val="clear" w:color="auto" w:fill="FFFFFF"/>
          <w:vertAlign w:val="baseline"/>
          <w:lang w:val="en-US" w:eastAsia="zh-CN"/>
        </w:rPr>
        <w:t>在职</w:t>
      </w:r>
      <w:r>
        <w:rPr>
          <w:rFonts w:hint="eastAsia" w:ascii="仿宋_GB2312" w:hAnsi="仿宋_GB2312" w:eastAsia="仿宋_GB2312" w:cs="仿宋_GB2312"/>
          <w:i w:val="0"/>
          <w:iCs w:val="0"/>
          <w:caps w:val="0"/>
          <w:color w:val="auto"/>
          <w:spacing w:val="0"/>
          <w:sz w:val="32"/>
          <w:szCs w:val="32"/>
          <w:highlight w:val="none"/>
          <w:shd w:val="clear" w:color="auto" w:fill="FFFFFF"/>
          <w:vertAlign w:val="baseline"/>
          <w:lang w:val="en-US" w:eastAsia="zh-CN"/>
        </w:rPr>
        <w:t>教职工困难</w:t>
      </w:r>
      <w:r>
        <w:rPr>
          <w:rFonts w:hint="default" w:ascii="仿宋_GB2312" w:hAnsi="仿宋_GB2312" w:eastAsia="仿宋_GB2312" w:cs="仿宋_GB2312"/>
          <w:i w:val="0"/>
          <w:iCs w:val="0"/>
          <w:caps w:val="0"/>
          <w:color w:val="auto"/>
          <w:spacing w:val="0"/>
          <w:sz w:val="32"/>
          <w:szCs w:val="32"/>
          <w:highlight w:val="none"/>
          <w:shd w:val="clear" w:color="auto" w:fill="FFFFFF"/>
          <w:vertAlign w:val="baseline"/>
          <w:lang w:val="en-US" w:eastAsia="zh-CN"/>
        </w:rPr>
        <w:t>补助在工会经费中列支；</w:t>
      </w:r>
      <w:r>
        <w:rPr>
          <w:rFonts w:hint="eastAsia" w:ascii="仿宋_GB2312" w:hAnsi="仿宋_GB2312" w:eastAsia="仿宋_GB2312" w:cs="仿宋_GB2312"/>
          <w:i w:val="0"/>
          <w:iCs w:val="0"/>
          <w:caps w:val="0"/>
          <w:color w:val="auto"/>
          <w:spacing w:val="0"/>
          <w:sz w:val="32"/>
          <w:szCs w:val="32"/>
          <w:highlight w:val="none"/>
          <w:shd w:val="clear" w:color="auto" w:fill="FFFFFF"/>
          <w:vertAlign w:val="baseline"/>
          <w:lang w:val="en-US" w:eastAsia="zh-CN"/>
        </w:rPr>
        <w:t>离退休</w:t>
      </w:r>
      <w:r>
        <w:rPr>
          <w:rFonts w:hint="default" w:ascii="仿宋_GB2312" w:hAnsi="仿宋_GB2312" w:eastAsia="仿宋_GB2312" w:cs="仿宋_GB2312"/>
          <w:i w:val="0"/>
          <w:iCs w:val="0"/>
          <w:caps w:val="0"/>
          <w:color w:val="auto"/>
          <w:spacing w:val="0"/>
          <w:sz w:val="32"/>
          <w:szCs w:val="32"/>
          <w:highlight w:val="none"/>
          <w:shd w:val="clear" w:color="auto" w:fill="FFFFFF"/>
          <w:vertAlign w:val="baseline"/>
          <w:lang w:val="en-US" w:eastAsia="zh-CN"/>
        </w:rPr>
        <w:t>人员困难补助</w:t>
      </w:r>
      <w:r>
        <w:rPr>
          <w:rFonts w:hint="default" w:ascii="仿宋_GB2312" w:hAnsi="仿宋_GB2312" w:eastAsia="仿宋_GB2312" w:cs="仿宋_GB2312"/>
          <w:b w:val="0"/>
          <w:bCs w:val="0"/>
          <w:i w:val="0"/>
          <w:iCs w:val="0"/>
          <w:caps w:val="0"/>
          <w:color w:val="auto"/>
          <w:spacing w:val="0"/>
          <w:sz w:val="32"/>
          <w:szCs w:val="32"/>
          <w:highlight w:val="none"/>
          <w:shd w:val="clear" w:color="auto" w:fill="FFFFFF"/>
          <w:vertAlign w:val="baseline"/>
          <w:lang w:val="en-US" w:eastAsia="zh-CN"/>
        </w:rPr>
        <w:t>参照</w:t>
      </w:r>
      <w:r>
        <w:rPr>
          <w:rFonts w:hint="eastAsia" w:ascii="仿宋_GB2312" w:hAnsi="仿宋_GB2312" w:eastAsia="仿宋_GB2312" w:cs="仿宋_GB2312"/>
          <w:b w:val="0"/>
          <w:bCs w:val="0"/>
          <w:i w:val="0"/>
          <w:iCs w:val="0"/>
          <w:caps w:val="0"/>
          <w:color w:val="auto"/>
          <w:spacing w:val="0"/>
          <w:sz w:val="32"/>
          <w:szCs w:val="32"/>
          <w:highlight w:val="none"/>
          <w:shd w:val="clear" w:color="auto" w:fill="FFFFFF"/>
          <w:vertAlign w:val="baseline"/>
          <w:lang w:val="en-US" w:eastAsia="zh-CN"/>
        </w:rPr>
        <w:t>员工</w:t>
      </w:r>
      <w:r>
        <w:rPr>
          <w:rFonts w:hint="default" w:ascii="仿宋_GB2312" w:hAnsi="仿宋_GB2312" w:eastAsia="仿宋_GB2312" w:cs="仿宋_GB2312"/>
          <w:b w:val="0"/>
          <w:bCs w:val="0"/>
          <w:i w:val="0"/>
          <w:iCs w:val="0"/>
          <w:caps w:val="0"/>
          <w:color w:val="auto"/>
          <w:spacing w:val="0"/>
          <w:sz w:val="32"/>
          <w:szCs w:val="32"/>
          <w:highlight w:val="none"/>
          <w:shd w:val="clear" w:color="auto" w:fill="FFFFFF"/>
          <w:vertAlign w:val="baseline"/>
          <w:lang w:val="en-US" w:eastAsia="zh-CN"/>
        </w:rPr>
        <w:t>标准在行</w:t>
      </w:r>
      <w:r>
        <w:rPr>
          <w:rFonts w:hint="default" w:ascii="仿宋_GB2312" w:hAnsi="仿宋_GB2312" w:eastAsia="仿宋_GB2312" w:cs="仿宋_GB2312"/>
          <w:i w:val="0"/>
          <w:iCs w:val="0"/>
          <w:caps w:val="0"/>
          <w:color w:val="auto"/>
          <w:spacing w:val="0"/>
          <w:sz w:val="32"/>
          <w:szCs w:val="32"/>
          <w:highlight w:val="none"/>
          <w:shd w:val="clear" w:color="auto" w:fill="FFFFFF"/>
          <w:vertAlign w:val="baseline"/>
          <w:lang w:val="en-US" w:eastAsia="zh-CN"/>
        </w:rPr>
        <w:t>政费用中列支</w:t>
      </w:r>
      <w:bookmarkEnd w:id="83"/>
      <w:r>
        <w:rPr>
          <w:rFonts w:hint="eastAsia" w:ascii="仿宋_GB2312" w:hAnsi="仿宋_GB2312" w:eastAsia="仿宋_GB2312" w:cs="仿宋_GB2312"/>
          <w:color w:val="auto"/>
          <w:sz w:val="32"/>
          <w:szCs w:val="32"/>
          <w:lang w:val="en-US" w:eastAsia="zh-CN"/>
        </w:rPr>
        <w:t>。</w:t>
      </w:r>
    </w:p>
    <w:bookmarkEnd w:id="84"/>
    <w:p w14:paraId="3889EF02">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2.学校工会组织开展元旦、春节、三八妇女节等节日慰问困难女教职工标准为人均不超过3000元/人。</w:t>
      </w:r>
    </w:p>
    <w:p w14:paraId="10AD885F">
      <w:pPr>
        <w:keepNext w:val="0"/>
        <w:keepLines w:val="0"/>
        <w:pageBreakBefore w:val="0"/>
        <w:widowControl/>
        <w:kinsoku/>
        <w:wordWrap/>
        <w:overflowPunct/>
        <w:topLinePunct w:val="0"/>
        <w:autoSpaceDE/>
        <w:autoSpaceDN/>
        <w:bidi w:val="0"/>
        <w:adjustRightInd/>
        <w:snapToGrid/>
        <w:spacing w:line="576" w:lineRule="exact"/>
        <w:ind w:left="0" w:leftChars="0" w:firstLine="601" w:firstLineChars="0"/>
        <w:jc w:val="left"/>
        <w:textAlignment w:val="auto"/>
        <w:rPr>
          <w:rFonts w:hint="default" w:ascii="仿宋_GB2312" w:hAnsi="仿宋_GB2312" w:eastAsia="仿宋_GB2312" w:cs="仿宋_GB2312"/>
          <w:color w:val="auto"/>
          <w:sz w:val="32"/>
          <w:szCs w:val="32"/>
          <w:lang w:val="en-US" w:eastAsia="zh-CN"/>
        </w:rPr>
      </w:pPr>
      <w:bookmarkStart w:id="85" w:name="OLE_LINK121"/>
      <w:r>
        <w:rPr>
          <w:rFonts w:hint="eastAsia" w:ascii="仿宋_GB2312" w:hAnsi="仿宋_GB2312" w:eastAsia="仿宋_GB2312" w:cs="仿宋_GB2312"/>
          <w:color w:val="auto"/>
          <w:kern w:val="2"/>
          <w:sz w:val="32"/>
          <w:szCs w:val="32"/>
          <w:lang w:val="en-US" w:eastAsia="zh-CN" w:bidi="ar-SA"/>
        </w:rPr>
        <w:t>3.学校工会可按照每年</w:t>
      </w:r>
      <w:r>
        <w:rPr>
          <w:rFonts w:hint="eastAsia" w:ascii="仿宋_GB2312" w:hAnsi="仿宋_GB2312" w:eastAsia="仿宋_GB2312" w:cs="仿宋_GB2312"/>
          <w:color w:val="auto"/>
          <w:kern w:val="2"/>
          <w:sz w:val="32"/>
          <w:szCs w:val="32"/>
          <w:highlight w:val="none"/>
          <w:lang w:val="en-US" w:eastAsia="zh-CN" w:bidi="ar-SA"/>
        </w:rPr>
        <w:t>人均不超过2000元的</w:t>
      </w:r>
      <w:r>
        <w:rPr>
          <w:rFonts w:hint="eastAsia" w:ascii="仿宋_GB2312" w:hAnsi="仿宋_GB2312" w:eastAsia="仿宋_GB2312" w:cs="仿宋_GB2312"/>
          <w:color w:val="auto"/>
          <w:sz w:val="32"/>
          <w:szCs w:val="32"/>
          <w:highlight w:val="none"/>
          <w:lang w:val="en-US" w:eastAsia="zh-CN"/>
        </w:rPr>
        <w:t>标准</w:t>
      </w:r>
      <w:r>
        <w:rPr>
          <w:rFonts w:hint="eastAsia" w:ascii="仿宋_GB2312" w:hAnsi="仿宋_GB2312" w:eastAsia="仿宋_GB2312" w:cs="仿宋_GB2312"/>
          <w:color w:val="auto"/>
          <w:sz w:val="32"/>
          <w:szCs w:val="32"/>
          <w:lang w:val="en-US" w:eastAsia="zh-CN"/>
        </w:rPr>
        <w:t>对突发临时致困的职工进行帮扶。</w:t>
      </w:r>
    </w:p>
    <w:bookmarkEnd w:id="85"/>
    <w:p w14:paraId="7F4DD7FE">
      <w:pPr>
        <w:pStyle w:val="7"/>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rPr>
          <w:rFonts w:hint="eastAsia" w:ascii="仿宋_GB2312" w:hAnsi="仿宋_GB2312" w:eastAsia="仿宋_GB2312" w:cs="仿宋_GB2312"/>
          <w:b/>
          <w:bCs/>
          <w:color w:val="auto"/>
          <w:kern w:val="2"/>
          <w:sz w:val="32"/>
          <w:szCs w:val="32"/>
          <w:highlight w:val="red"/>
          <w:lang w:val="en-US" w:eastAsia="zh-CN" w:bidi="ar-SA"/>
        </w:rPr>
      </w:pPr>
      <w:bookmarkStart w:id="86" w:name="OLE_LINK59"/>
      <w:r>
        <w:rPr>
          <w:rFonts w:hint="eastAsia" w:ascii="楷体_GB2312" w:hAnsi="楷体_GB2312" w:eastAsia="楷体_GB2312" w:cs="楷体_GB2312"/>
          <w:color w:val="auto"/>
          <w:kern w:val="2"/>
          <w:sz w:val="32"/>
          <w:szCs w:val="32"/>
          <w:lang w:val="en-US" w:eastAsia="zh-CN" w:bidi="ar-SA"/>
        </w:rPr>
        <w:t>（五）送温暖费。</w:t>
      </w:r>
      <w:r>
        <w:rPr>
          <w:rFonts w:hint="eastAsia" w:ascii="仿宋_GB2312" w:hAnsi="仿宋_GB2312" w:eastAsia="仿宋_GB2312" w:cs="仿宋_GB2312"/>
          <w:color w:val="auto"/>
          <w:sz w:val="32"/>
          <w:szCs w:val="32"/>
          <w:lang w:val="en-US" w:eastAsia="zh-CN"/>
        </w:rPr>
        <w:t>用于开展夏送清凉和冬送温暖等活动发生的支出。</w:t>
      </w:r>
      <w:bookmarkStart w:id="87" w:name="OLE_LINK40"/>
    </w:p>
    <w:bookmarkEnd w:id="87"/>
    <w:p w14:paraId="07DE471C">
      <w:pPr>
        <w:pStyle w:val="8"/>
        <w:keepNext w:val="0"/>
        <w:keepLines w:val="0"/>
        <w:pageBreakBefore w:val="0"/>
        <w:kinsoku/>
        <w:wordWrap/>
        <w:overflowPunct/>
        <w:topLinePunct w:val="0"/>
        <w:autoSpaceDE/>
        <w:autoSpaceDN/>
        <w:bidi w:val="0"/>
        <w:adjustRightInd/>
        <w:snapToGrid/>
        <w:spacing w:line="576" w:lineRule="exact"/>
        <w:ind w:left="0" w:leftChars="0" w:firstLine="601" w:firstLineChars="0"/>
        <w:jc w:val="both"/>
        <w:outlineLvl w:val="0"/>
        <w:rPr>
          <w:rFonts w:hint="eastAsia" w:ascii="仿宋_GB2312" w:hAnsi="仿宋_GB2312" w:eastAsia="仿宋_GB2312" w:cs="仿宋_GB2312"/>
          <w:color w:val="auto"/>
          <w:kern w:val="2"/>
          <w:sz w:val="32"/>
          <w:szCs w:val="32"/>
          <w:highlight w:val="red"/>
          <w:lang w:val="en-US" w:eastAsia="zh-CN" w:bidi="ar-SA"/>
        </w:rPr>
      </w:pPr>
      <w:r>
        <w:rPr>
          <w:rFonts w:hint="eastAsia" w:ascii="仿宋_GB2312" w:hAnsi="仿宋_GB2312" w:eastAsia="仿宋_GB2312" w:cs="仿宋_GB2312"/>
          <w:color w:val="auto"/>
          <w:kern w:val="2"/>
          <w:sz w:val="32"/>
          <w:szCs w:val="32"/>
          <w:highlight w:val="none"/>
          <w:lang w:val="en-US" w:eastAsia="zh-CN" w:bidi="ar-SA"/>
        </w:rPr>
        <w:t>1.根据《贵州省送温暖财政补助资金支出标准（试行）》《遵义市工会送温暖资金使用管理暂行办法》相关规定，工会组织在春节或五一劳动节等节日对重大项目和重大工程中做出突出贡献的教职工，教学一线涌现出来的先进模范人物等进行慰问，慰问标准如下：</w:t>
      </w:r>
    </w:p>
    <w:bookmarkEnd w:id="86"/>
    <w:p w14:paraId="0141EB54">
      <w:pPr>
        <w:pStyle w:val="8"/>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outlineLvl w:val="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全国劳动模范按3000元/人、全国五一劳动奖章按3000元/人、全国轻工五一劳动奖章按3000元/人；贵州省劳动模范按2500元/人、贵州省五一劳动奖章按2500元/人；遵义市劳动模范按2000元/人、遵义市五一劳动奖章按2000元/人；仁怀市劳动模范按1500元/人、仁怀市五一劳动奖章按1500元/人；茅台劳模、金牌员工1000元/人。</w:t>
      </w:r>
    </w:p>
    <w:p w14:paraId="42F69113">
      <w:pPr>
        <w:pStyle w:val="8"/>
        <w:keepNext w:val="0"/>
        <w:keepLines w:val="0"/>
        <w:pageBreakBefore w:val="0"/>
        <w:kinsoku/>
        <w:wordWrap/>
        <w:overflowPunct/>
        <w:topLinePunct w:val="0"/>
        <w:autoSpaceDE/>
        <w:autoSpaceDN/>
        <w:bidi w:val="0"/>
        <w:adjustRightInd/>
        <w:snapToGrid/>
        <w:spacing w:line="576" w:lineRule="exact"/>
        <w:ind w:left="0" w:leftChars="0" w:firstLine="601" w:firstLineChars="0"/>
        <w:jc w:val="both"/>
        <w:outlineLvl w:val="0"/>
        <w:rPr>
          <w:rFonts w:hint="eastAsia" w:ascii="仿宋_GB2312" w:hAnsi="仿宋_GB2312" w:eastAsia="仿宋_GB2312" w:cs="仿宋_GB2312"/>
          <w:color w:val="auto"/>
          <w:sz w:val="32"/>
          <w:szCs w:val="32"/>
          <w:highlight w:val="none"/>
          <w:lang w:val="en-US" w:eastAsia="zh-CN"/>
        </w:rPr>
      </w:pPr>
      <w:bookmarkStart w:id="88" w:name="OLE_LINK61"/>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kern w:val="2"/>
          <w:sz w:val="32"/>
          <w:szCs w:val="32"/>
          <w:highlight w:val="none"/>
          <w:lang w:val="en-US" w:eastAsia="zh-CN" w:bidi="ar-SA"/>
        </w:rPr>
        <w:t>工会组织开展</w:t>
      </w:r>
      <w:r>
        <w:rPr>
          <w:rFonts w:hint="eastAsia" w:ascii="仿宋_GB2312" w:hAnsi="仿宋_GB2312" w:eastAsia="仿宋_GB2312" w:cs="仿宋_GB2312"/>
          <w:color w:val="auto"/>
          <w:sz w:val="32"/>
          <w:szCs w:val="32"/>
          <w:highlight w:val="none"/>
          <w:lang w:val="en-US" w:eastAsia="zh-CN"/>
        </w:rPr>
        <w:t>夏送清凉、冬送温暖合计按人均不超过300元的标准进行慰问，具体</w:t>
      </w:r>
      <w:r>
        <w:rPr>
          <w:rFonts w:hint="eastAsia" w:ascii="仿宋_GB2312" w:hAnsi="仿宋_GB2312" w:eastAsia="仿宋_GB2312" w:cs="仿宋_GB2312"/>
          <w:color w:val="auto"/>
          <w:kern w:val="2"/>
          <w:sz w:val="32"/>
          <w:szCs w:val="32"/>
          <w:highlight w:val="none"/>
          <w:lang w:val="en-US" w:eastAsia="zh-CN" w:bidi="ar-SA"/>
        </w:rPr>
        <w:t>慰问标准</w:t>
      </w:r>
      <w:r>
        <w:rPr>
          <w:rFonts w:hint="eastAsia" w:ascii="仿宋_GB2312" w:hAnsi="仿宋_GB2312" w:eastAsia="仿宋_GB2312" w:cs="仿宋_GB2312"/>
          <w:color w:val="auto"/>
          <w:sz w:val="32"/>
          <w:szCs w:val="32"/>
          <w:highlight w:val="none"/>
          <w:lang w:val="en-US" w:eastAsia="zh-CN"/>
        </w:rPr>
        <w:t>及范围参照当地省（市）总工会文件相关规定，经学校工会相关会议研究讨论通过后开展。</w:t>
      </w:r>
    </w:p>
    <w:bookmarkEnd w:id="88"/>
    <w:p w14:paraId="5F2FE085">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kern w:val="2"/>
          <w:sz w:val="32"/>
          <w:szCs w:val="32"/>
          <w:lang w:val="en-US" w:eastAsia="zh-CN" w:bidi="ar-SA"/>
        </w:rPr>
        <w:t>（六）其他维权支出。</w:t>
      </w:r>
      <w:r>
        <w:rPr>
          <w:rFonts w:hint="eastAsia" w:ascii="仿宋_GB2312" w:hAnsi="仿宋_GB2312" w:eastAsia="仿宋_GB2312" w:cs="仿宋_GB2312"/>
          <w:color w:val="auto"/>
          <w:sz w:val="32"/>
          <w:szCs w:val="32"/>
          <w:lang w:val="en-US" w:eastAsia="zh-CN"/>
        </w:rPr>
        <w:t>用于补助教职工和会员参加互助互济保障活动等其他方面的维权支出。</w:t>
      </w:r>
    </w:p>
    <w:p w14:paraId="5E9D6CE6">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w w:val="99"/>
          <w:kern w:val="2"/>
          <w:sz w:val="32"/>
          <w:szCs w:val="32"/>
          <w:lang w:val="en-US" w:eastAsia="zh-CN" w:bidi="ar-SA"/>
        </w:rPr>
        <w:t>第十条</w:t>
      </w:r>
      <w:r>
        <w:rPr>
          <w:rFonts w:hint="eastAsia" w:ascii="黑体" w:hAnsi="黑体" w:eastAsia="黑体" w:cs="黑体"/>
          <w:color w:val="auto"/>
          <w:w w:val="99"/>
          <w:kern w:val="2"/>
          <w:sz w:val="32"/>
          <w:szCs w:val="32"/>
          <w:lang w:val="en-US" w:eastAsia="zh-CN" w:bidi="ar-SA"/>
        </w:rPr>
        <w:t>　</w:t>
      </w:r>
      <w:r>
        <w:rPr>
          <w:rFonts w:hint="eastAsia" w:ascii="仿宋_GB2312" w:hAnsi="仿宋_GB2312" w:eastAsia="仿宋_GB2312" w:cs="仿宋_GB2312"/>
          <w:color w:val="auto"/>
          <w:sz w:val="32"/>
          <w:szCs w:val="32"/>
          <w:lang w:val="en-US" w:eastAsia="zh-CN"/>
        </w:rPr>
        <w:t>业务支出是指组织开展工会干部培训、加强自身建设以及开展业务工作发生的各项支出。</w:t>
      </w:r>
    </w:p>
    <w:p w14:paraId="4495E80A">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b/>
          <w:bCs/>
          <w:color w:val="auto"/>
          <w:sz w:val="32"/>
          <w:szCs w:val="32"/>
          <w:highlight w:val="yellow"/>
          <w:lang w:val="en-US" w:eastAsia="zh-CN"/>
        </w:rPr>
      </w:pPr>
      <w:bookmarkStart w:id="89" w:name="OLE_LINK67"/>
      <w:r>
        <w:rPr>
          <w:rFonts w:hint="eastAsia" w:ascii="楷体_GB2312" w:hAnsi="楷体_GB2312" w:eastAsia="楷体_GB2312" w:cs="楷体_GB2312"/>
          <w:color w:val="auto"/>
          <w:kern w:val="2"/>
          <w:sz w:val="32"/>
          <w:szCs w:val="32"/>
          <w:lang w:val="en-US" w:eastAsia="zh-CN" w:bidi="ar-SA"/>
        </w:rPr>
        <w:t>（一）培训费。</w:t>
      </w:r>
      <w:r>
        <w:rPr>
          <w:rFonts w:hint="eastAsia" w:ascii="仿宋_GB2312" w:hAnsi="仿宋_GB2312" w:eastAsia="仿宋_GB2312" w:cs="仿宋_GB2312"/>
          <w:color w:val="auto"/>
          <w:sz w:val="32"/>
          <w:szCs w:val="32"/>
          <w:lang w:val="en-US" w:eastAsia="zh-CN"/>
        </w:rPr>
        <w:t>用于工会组织开展工会干部和工会积极分子培训发生的各项支出。</w:t>
      </w:r>
      <w:r>
        <w:rPr>
          <w:rFonts w:hint="eastAsia" w:ascii="仿宋_GB2312" w:hAnsi="仿宋_GB2312" w:eastAsia="仿宋_GB2312" w:cs="仿宋_GB2312"/>
          <w:color w:val="auto"/>
          <w:sz w:val="32"/>
          <w:szCs w:val="32"/>
          <w:highlight w:val="none"/>
          <w:lang w:val="en-US" w:eastAsia="zh-CN"/>
        </w:rPr>
        <w:t>开支范围和标准等费用参照教职工教育支出的相关规定执行。</w:t>
      </w:r>
    </w:p>
    <w:bookmarkEnd w:id="89"/>
    <w:p w14:paraId="64F421F0">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kern w:val="2"/>
          <w:sz w:val="32"/>
          <w:szCs w:val="32"/>
          <w:lang w:val="en-US" w:eastAsia="zh-CN" w:bidi="ar-SA"/>
        </w:rPr>
        <w:t>（二）会议支出。</w:t>
      </w:r>
      <w:r>
        <w:rPr>
          <w:rFonts w:hint="eastAsia" w:ascii="仿宋_GB2312" w:hAnsi="仿宋_GB2312" w:eastAsia="仿宋_GB2312" w:cs="仿宋_GB2312"/>
          <w:color w:val="auto"/>
          <w:sz w:val="32"/>
          <w:szCs w:val="32"/>
          <w:lang w:val="en-US" w:eastAsia="zh-CN"/>
        </w:rPr>
        <w:t>用于工会会员大会或会员代表大会、工会委员会、经费审查委员会以及其他专业工作会议的各项支出。开支范围和标准参照当地有关部门制定的会议费管理办法执行。</w:t>
      </w:r>
    </w:p>
    <w:p w14:paraId="4B89115B">
      <w:pPr>
        <w:keepNext w:val="0"/>
        <w:keepLines w:val="0"/>
        <w:pageBreakBefore w:val="0"/>
        <w:wordWrap/>
        <w:overflowPunct/>
        <w:topLinePunct w:val="0"/>
        <w:bidi w:val="0"/>
        <w:spacing w:line="576" w:lineRule="exact"/>
        <w:ind w:right="101" w:firstLine="640" w:firstLineChars="200"/>
        <w:jc w:val="both"/>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kern w:val="2"/>
          <w:sz w:val="32"/>
          <w:szCs w:val="32"/>
          <w:lang w:val="en-US" w:eastAsia="zh-CN" w:bidi="ar-SA"/>
        </w:rPr>
        <w:t>（三）专项业务费。</w:t>
      </w:r>
      <w:r>
        <w:rPr>
          <w:rFonts w:hint="eastAsia" w:ascii="仿宋_GB2312" w:hAnsi="仿宋_GB2312" w:eastAsia="仿宋_GB2312" w:cs="仿宋_GB2312"/>
          <w:color w:val="auto"/>
          <w:sz w:val="32"/>
          <w:szCs w:val="32"/>
          <w:lang w:val="en-US" w:eastAsia="zh-CN"/>
        </w:rPr>
        <w:t>用于工会开展自身组织建设、专题调研、专项工作、女职工工作、劳模专项补助、外事活动等方面所发生的支出。</w:t>
      </w:r>
    </w:p>
    <w:p w14:paraId="6C79E21B">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kern w:val="2"/>
          <w:sz w:val="32"/>
          <w:szCs w:val="32"/>
          <w:lang w:val="en-US" w:eastAsia="zh-CN" w:bidi="ar-SA"/>
        </w:rPr>
        <w:t>（四）其他业务支出。</w:t>
      </w:r>
      <w:r>
        <w:rPr>
          <w:rFonts w:hint="eastAsia" w:ascii="仿宋_GB2312" w:hAnsi="仿宋_GB2312" w:eastAsia="仿宋_GB2312" w:cs="仿宋_GB2312"/>
          <w:color w:val="auto"/>
          <w:sz w:val="32"/>
          <w:szCs w:val="32"/>
          <w:lang w:val="en-US" w:eastAsia="zh-CN"/>
        </w:rPr>
        <w:t>用于评选表彰先进集体和个人等的奖励支出；用于必要的办公费、差旅费；用于支付代理记账、中介机构审计等购买服务方面的支出。</w:t>
      </w:r>
    </w:p>
    <w:p w14:paraId="28B0E529">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1.工会组织开展表彰的先进集体和个人等的奖励支出范围及标准，参照</w:t>
      </w:r>
      <w:bookmarkStart w:id="90" w:name="OLE_LINK64"/>
      <w:r>
        <w:rPr>
          <w:rFonts w:hint="eastAsia" w:ascii="仿宋_GB2312" w:hAnsi="仿宋_GB2312" w:eastAsia="仿宋_GB2312" w:cs="仿宋_GB2312"/>
          <w:color w:val="auto"/>
          <w:sz w:val="32"/>
          <w:szCs w:val="32"/>
          <w:lang w:val="en-US" w:eastAsia="zh-CN"/>
        </w:rPr>
        <w:t>《中国贵州茅台酒厂（集团）有限责任公司工会委员会评选表彰管理规定》</w:t>
      </w:r>
      <w:bookmarkEnd w:id="90"/>
      <w:r>
        <w:rPr>
          <w:rFonts w:hint="eastAsia" w:ascii="仿宋_GB2312" w:hAnsi="仿宋_GB2312" w:eastAsia="仿宋_GB2312" w:cs="仿宋_GB2312"/>
          <w:color w:val="auto"/>
          <w:sz w:val="32"/>
          <w:szCs w:val="32"/>
          <w:lang w:val="en-US" w:eastAsia="zh-CN"/>
        </w:rPr>
        <w:t>执行。</w:t>
      </w:r>
    </w:p>
    <w:p w14:paraId="572F2DE4">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sz w:val="32"/>
          <w:szCs w:val="32"/>
          <w:lang w:val="en-US" w:eastAsia="zh-CN"/>
        </w:rPr>
      </w:pPr>
      <w:bookmarkStart w:id="91" w:name="OLE_LINK69"/>
      <w:r>
        <w:rPr>
          <w:rFonts w:hint="eastAsia" w:ascii="仿宋_GB2312" w:hAnsi="仿宋_GB2312" w:eastAsia="仿宋_GB2312" w:cs="仿宋_GB2312"/>
          <w:color w:val="auto"/>
          <w:kern w:val="2"/>
          <w:sz w:val="32"/>
          <w:szCs w:val="32"/>
          <w:lang w:val="en-US" w:eastAsia="zh-CN" w:bidi="ar-SA"/>
        </w:rPr>
        <w:t>2.会员及其直系亲属去世，丧事在工会所在地以外的地方举行的，</w:t>
      </w:r>
      <w:r>
        <w:rPr>
          <w:rFonts w:hint="eastAsia" w:ascii="仿宋_GB2312" w:hAnsi="仿宋_GB2312" w:eastAsia="仿宋_GB2312" w:cs="仿宋_GB2312"/>
          <w:color w:val="auto"/>
          <w:kern w:val="2"/>
          <w:sz w:val="32"/>
          <w:szCs w:val="32"/>
          <w:highlight w:val="none"/>
          <w:lang w:val="en-US" w:eastAsia="zh-CN" w:bidi="ar-SA"/>
        </w:rPr>
        <w:t>工会要严格控制赴异地开展慰问、吊唁活动，经批准确需开展的，学校</w:t>
      </w:r>
      <w:r>
        <w:rPr>
          <w:rFonts w:hint="eastAsia" w:ascii="仿宋_GB2312" w:hAnsi="仿宋_GB2312" w:eastAsia="仿宋_GB2312" w:cs="仿宋_GB2312"/>
          <w:color w:val="auto"/>
          <w:sz w:val="32"/>
          <w:szCs w:val="32"/>
          <w:lang w:val="en-US" w:eastAsia="zh-CN"/>
        </w:rPr>
        <w:t>工会可派2-3人前往吊唁</w:t>
      </w:r>
      <w:r>
        <w:rPr>
          <w:rFonts w:hint="eastAsia" w:ascii="仿宋_GB2312" w:hAnsi="仿宋_GB2312" w:eastAsia="仿宋_GB2312" w:cs="仿宋_GB2312"/>
          <w:color w:val="auto"/>
          <w:kern w:val="2"/>
          <w:sz w:val="32"/>
          <w:szCs w:val="32"/>
          <w:lang w:val="en-US" w:eastAsia="zh-CN"/>
        </w:rPr>
        <w:t>，</w:t>
      </w:r>
      <w:r>
        <w:rPr>
          <w:rFonts w:hint="eastAsia" w:ascii="仿宋_GB2312" w:hAnsi="仿宋_GB2312" w:eastAsia="仿宋_GB2312" w:cs="仿宋_GB2312"/>
          <w:color w:val="auto"/>
          <w:sz w:val="32"/>
          <w:szCs w:val="32"/>
          <w:lang w:val="en-US" w:eastAsia="zh-CN"/>
        </w:rPr>
        <w:t>并按</w:t>
      </w:r>
      <w:r>
        <w:rPr>
          <w:rFonts w:hint="eastAsia" w:ascii="仿宋_GB2312" w:hAnsi="仿宋_GB2312" w:eastAsia="仿宋_GB2312" w:cs="仿宋_GB2312"/>
          <w:color w:val="auto"/>
          <w:kern w:val="2"/>
          <w:sz w:val="32"/>
          <w:szCs w:val="32"/>
          <w:highlight w:val="none"/>
          <w:lang w:val="en-US" w:eastAsia="zh-CN"/>
        </w:rPr>
        <w:t>《茅台学院差旅费管理办法》</w:t>
      </w:r>
      <w:r>
        <w:rPr>
          <w:rFonts w:hint="eastAsia" w:ascii="仿宋_GB2312" w:hAnsi="仿宋_GB2312" w:eastAsia="仿宋_GB2312" w:cs="仿宋_GB2312"/>
          <w:color w:val="auto"/>
          <w:sz w:val="32"/>
          <w:szCs w:val="32"/>
          <w:lang w:val="en-US" w:eastAsia="zh-CN"/>
        </w:rPr>
        <w:t>相关规定报销，从工会经费中列支。</w:t>
      </w:r>
    </w:p>
    <w:bookmarkEnd w:id="91"/>
    <w:p w14:paraId="3B5E184B">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w w:val="99"/>
          <w:kern w:val="2"/>
          <w:sz w:val="32"/>
          <w:szCs w:val="32"/>
          <w:lang w:val="en-US" w:eastAsia="zh-CN" w:bidi="ar-SA"/>
        </w:rPr>
        <w:t>第十一条　</w:t>
      </w:r>
      <w:r>
        <w:rPr>
          <w:rFonts w:hint="eastAsia" w:ascii="仿宋_GB2312" w:hAnsi="仿宋_GB2312" w:eastAsia="仿宋_GB2312" w:cs="仿宋_GB2312"/>
          <w:color w:val="auto"/>
          <w:sz w:val="32"/>
          <w:szCs w:val="32"/>
          <w:lang w:val="en-US" w:eastAsia="zh-CN"/>
        </w:rPr>
        <w:t>资本性支出是指工会从事工会建设工程、设备工具购置、大型修缮和信息网络购建而发生的支出。</w:t>
      </w:r>
    </w:p>
    <w:p w14:paraId="499CB211">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outlineLvl w:val="0"/>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w w:val="99"/>
          <w:kern w:val="2"/>
          <w:sz w:val="32"/>
          <w:szCs w:val="32"/>
          <w:lang w:val="en-US" w:eastAsia="zh-CN" w:bidi="ar-SA"/>
        </w:rPr>
        <w:t>第十二条</w:t>
      </w:r>
      <w:r>
        <w:rPr>
          <w:rFonts w:hint="eastAsia" w:ascii="仿宋_GB2312" w:hAnsi="仿宋_GB2312" w:eastAsia="仿宋_GB2312" w:cs="仿宋_GB2312"/>
          <w:color w:val="auto"/>
          <w:w w:val="99"/>
          <w:kern w:val="2"/>
          <w:sz w:val="32"/>
          <w:szCs w:val="32"/>
          <w:lang w:val="en-US" w:eastAsia="zh-CN" w:bidi="ar-SA"/>
        </w:rPr>
        <w:t>　</w:t>
      </w:r>
      <w:r>
        <w:rPr>
          <w:rFonts w:hint="eastAsia" w:ascii="仿宋_GB2312" w:hAnsi="仿宋_GB2312" w:eastAsia="仿宋_GB2312" w:cs="仿宋_GB2312"/>
          <w:color w:val="auto"/>
          <w:sz w:val="32"/>
          <w:szCs w:val="32"/>
          <w:lang w:val="en-US" w:eastAsia="zh-CN"/>
        </w:rPr>
        <w:t>其他支出是指工会除上述支出以外的其他各项支出。包括：资产盘亏、固定资产处置净损失、捐赠、赞助等。</w:t>
      </w:r>
    </w:p>
    <w:p w14:paraId="13F998F8">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rPr>
          <w:rFonts w:hint="eastAsia" w:ascii="仿宋_GB2312" w:hAnsi="仿宋_GB2312" w:eastAsia="仿宋_GB2312" w:cs="仿宋_GB2312"/>
          <w:color w:val="auto"/>
          <w:sz w:val="32"/>
          <w:szCs w:val="32"/>
          <w:highlight w:val="none"/>
          <w:lang w:val="en-US" w:eastAsia="zh-CN"/>
        </w:rPr>
      </w:pPr>
      <w:bookmarkStart w:id="92" w:name="OLE_LINK16"/>
      <w:bookmarkStart w:id="93" w:name="OLE_LINK70"/>
      <w:r>
        <w:rPr>
          <w:rFonts w:hint="eastAsia" w:ascii="黑体" w:hAnsi="黑体" w:eastAsia="黑体" w:cs="黑体"/>
          <w:color w:val="auto"/>
          <w:kern w:val="2"/>
          <w:sz w:val="32"/>
          <w:szCs w:val="32"/>
          <w:highlight w:val="none"/>
          <w:lang w:val="en-US" w:eastAsia="zh-CN" w:bidi="ar-SA"/>
        </w:rPr>
        <w:t>第十三条</w:t>
      </w:r>
      <w:bookmarkEnd w:id="92"/>
      <w:r>
        <w:rPr>
          <w:rFonts w:hint="eastAsia" w:ascii="黑体" w:hAnsi="黑体" w:eastAsia="黑体" w:cs="黑体"/>
          <w:color w:val="auto"/>
          <w:kern w:val="2"/>
          <w:sz w:val="32"/>
          <w:szCs w:val="32"/>
          <w:highlight w:val="none"/>
          <w:lang w:val="en-US" w:eastAsia="zh-CN" w:bidi="ar-SA"/>
        </w:rPr>
        <w:t xml:space="preserve">  </w:t>
      </w:r>
      <w:r>
        <w:rPr>
          <w:rFonts w:hint="eastAsia" w:ascii="仿宋_GB2312" w:hAnsi="仿宋_GB2312" w:eastAsia="仿宋_GB2312" w:cs="仿宋_GB2312"/>
          <w:color w:val="auto"/>
          <w:sz w:val="32"/>
          <w:szCs w:val="32"/>
          <w:highlight w:val="none"/>
          <w:lang w:val="en-US" w:eastAsia="zh-CN"/>
        </w:rPr>
        <w:t>奖励款使用规定</w:t>
      </w:r>
    </w:p>
    <w:p w14:paraId="37A7FF14">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本细则所称奖励款是指</w:t>
      </w:r>
      <w:bookmarkStart w:id="94" w:name="OLE_LINK102"/>
      <w:r>
        <w:rPr>
          <w:rFonts w:hint="eastAsia" w:ascii="仿宋_GB2312" w:hAnsi="仿宋_GB2312" w:eastAsia="仿宋_GB2312" w:cs="仿宋_GB2312"/>
          <w:color w:val="auto"/>
          <w:sz w:val="32"/>
          <w:szCs w:val="32"/>
          <w:highlight w:val="none"/>
          <w:lang w:val="en-US" w:eastAsia="zh-CN"/>
        </w:rPr>
        <w:t>参加工会系统的个人比赛或集体赛，获得表彰奖励资金</w:t>
      </w:r>
      <w:bookmarkEnd w:id="94"/>
      <w:r>
        <w:rPr>
          <w:rFonts w:hint="eastAsia" w:ascii="仿宋_GB2312" w:hAnsi="仿宋_GB2312" w:eastAsia="仿宋_GB2312" w:cs="仿宋_GB2312"/>
          <w:color w:val="auto"/>
          <w:sz w:val="32"/>
          <w:szCs w:val="32"/>
          <w:highlight w:val="none"/>
          <w:lang w:val="en-US" w:eastAsia="zh-CN"/>
        </w:rPr>
        <w:t>。主要分为以下两类：</w:t>
      </w:r>
    </w:p>
    <w:p w14:paraId="7A87F87C">
      <w:pPr>
        <w:pStyle w:val="7"/>
        <w:keepNext w:val="0"/>
        <w:keepLines w:val="0"/>
        <w:pageBreakBefore w:val="0"/>
        <w:numPr>
          <w:ilvl w:val="0"/>
          <w:numId w:val="1"/>
        </w:numPr>
        <w:kinsoku/>
        <w:wordWrap/>
        <w:overflowPunct/>
        <w:topLinePunct w:val="0"/>
        <w:autoSpaceDE/>
        <w:autoSpaceDN/>
        <w:bidi w:val="0"/>
        <w:adjustRightInd/>
        <w:snapToGrid/>
        <w:spacing w:line="576" w:lineRule="exact"/>
        <w:ind w:left="0" w:leftChars="0" w:firstLine="601" w:firstLineChars="0"/>
        <w:jc w:val="both"/>
        <w:rPr>
          <w:rFonts w:hint="eastAsia" w:ascii="仿宋_GB2312" w:hAnsi="仿宋_GB2312" w:eastAsia="仿宋_GB2312" w:cs="仿宋_GB2312"/>
          <w:color w:val="auto"/>
          <w:sz w:val="32"/>
          <w:szCs w:val="32"/>
          <w:highlight w:val="none"/>
          <w:lang w:val="en-US" w:eastAsia="zh-CN"/>
        </w:rPr>
      </w:pPr>
      <w:bookmarkStart w:id="95" w:name="OLE_LINK8"/>
      <w:r>
        <w:rPr>
          <w:rFonts w:hint="eastAsia" w:ascii="仿宋_GB2312" w:hAnsi="仿宋_GB2312" w:eastAsia="仿宋_GB2312" w:cs="仿宋_GB2312"/>
          <w:color w:val="auto"/>
          <w:sz w:val="32"/>
          <w:szCs w:val="32"/>
          <w:highlight w:val="none"/>
          <w:lang w:val="en-US" w:eastAsia="zh-CN"/>
        </w:rPr>
        <w:t>参加</w:t>
      </w:r>
      <w:bookmarkStart w:id="96" w:name="OLE_LINK4"/>
      <w:r>
        <w:rPr>
          <w:rFonts w:hint="eastAsia" w:ascii="仿宋_GB2312" w:hAnsi="仿宋_GB2312" w:eastAsia="仿宋_GB2312" w:cs="仿宋_GB2312"/>
          <w:color w:val="auto"/>
          <w:sz w:val="32"/>
          <w:szCs w:val="32"/>
          <w:highlight w:val="none"/>
          <w:lang w:val="en-US" w:eastAsia="zh-CN"/>
        </w:rPr>
        <w:t>工会系统</w:t>
      </w:r>
      <w:bookmarkEnd w:id="96"/>
      <w:r>
        <w:rPr>
          <w:rFonts w:hint="eastAsia" w:ascii="仿宋_GB2312" w:hAnsi="仿宋_GB2312" w:eastAsia="仿宋_GB2312" w:cs="仿宋_GB2312"/>
          <w:color w:val="auto"/>
          <w:sz w:val="32"/>
          <w:szCs w:val="32"/>
          <w:highlight w:val="none"/>
          <w:lang w:val="en-US" w:eastAsia="zh-CN"/>
        </w:rPr>
        <w:t>个人比赛获得的奖励资金</w:t>
      </w:r>
      <w:bookmarkEnd w:id="95"/>
      <w:r>
        <w:rPr>
          <w:rFonts w:hint="eastAsia" w:ascii="仿宋_GB2312" w:hAnsi="仿宋_GB2312" w:eastAsia="仿宋_GB2312" w:cs="仿宋_GB2312"/>
          <w:color w:val="auto"/>
          <w:sz w:val="32"/>
          <w:szCs w:val="32"/>
          <w:highlight w:val="none"/>
          <w:lang w:val="en-US" w:eastAsia="zh-CN"/>
        </w:rPr>
        <w:t>；</w:t>
      </w:r>
    </w:p>
    <w:p w14:paraId="40230225">
      <w:pPr>
        <w:pStyle w:val="7"/>
        <w:keepNext w:val="0"/>
        <w:keepLines w:val="0"/>
        <w:pageBreakBefore w:val="0"/>
        <w:numPr>
          <w:ilvl w:val="0"/>
          <w:numId w:val="1"/>
        </w:numPr>
        <w:kinsoku/>
        <w:wordWrap/>
        <w:overflowPunct/>
        <w:topLinePunct w:val="0"/>
        <w:autoSpaceDE/>
        <w:autoSpaceDN/>
        <w:bidi w:val="0"/>
        <w:adjustRightInd/>
        <w:snapToGrid/>
        <w:spacing w:line="576" w:lineRule="exact"/>
        <w:ind w:left="0" w:leftChars="0" w:firstLine="601" w:firstLineChars="0"/>
        <w:jc w:val="both"/>
        <w:rPr>
          <w:rFonts w:hint="eastAsia" w:ascii="仿宋_GB2312" w:hAnsi="仿宋_GB2312" w:eastAsia="仿宋_GB2312" w:cs="仿宋_GB2312"/>
          <w:color w:val="auto"/>
          <w:sz w:val="32"/>
          <w:szCs w:val="32"/>
          <w:highlight w:val="none"/>
          <w:lang w:val="en-US" w:eastAsia="zh-CN"/>
        </w:rPr>
      </w:pPr>
      <w:bookmarkStart w:id="97" w:name="OLE_LINK5"/>
      <w:bookmarkStart w:id="98" w:name="OLE_LINK9"/>
      <w:r>
        <w:rPr>
          <w:rFonts w:hint="eastAsia" w:ascii="仿宋_GB2312" w:hAnsi="仿宋_GB2312" w:eastAsia="仿宋_GB2312" w:cs="仿宋_GB2312"/>
          <w:color w:val="auto"/>
          <w:sz w:val="32"/>
          <w:szCs w:val="32"/>
          <w:highlight w:val="none"/>
          <w:lang w:val="en-US" w:eastAsia="zh-CN"/>
        </w:rPr>
        <w:t>参加工会系统集体比赛获得的奖励资金</w:t>
      </w:r>
      <w:bookmarkEnd w:id="97"/>
      <w:r>
        <w:rPr>
          <w:rFonts w:hint="eastAsia" w:ascii="仿宋_GB2312" w:hAnsi="仿宋_GB2312" w:eastAsia="仿宋_GB2312" w:cs="仿宋_GB2312"/>
          <w:color w:val="auto"/>
          <w:sz w:val="32"/>
          <w:szCs w:val="32"/>
          <w:highlight w:val="none"/>
          <w:lang w:val="en-US" w:eastAsia="zh-CN"/>
        </w:rPr>
        <w:t>；</w:t>
      </w:r>
      <w:bookmarkEnd w:id="98"/>
    </w:p>
    <w:p w14:paraId="607F8E99">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奖励款发放流程：</w:t>
      </w:r>
    </w:p>
    <w:p w14:paraId="0F004415">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1.参加工会系统个人比赛获得的奖励资金，由领奖人自由使用，</w:t>
      </w:r>
      <w:bookmarkStart w:id="99" w:name="OLE_LINK14"/>
      <w:bookmarkStart w:id="100" w:name="OLE_LINK17"/>
      <w:r>
        <w:rPr>
          <w:rFonts w:hint="eastAsia" w:ascii="仿宋_GB2312" w:hAnsi="仿宋_GB2312" w:eastAsia="仿宋_GB2312" w:cs="仿宋_GB2312"/>
          <w:color w:val="auto"/>
          <w:sz w:val="32"/>
          <w:szCs w:val="32"/>
          <w:highlight w:val="none"/>
          <w:lang w:val="en-US" w:eastAsia="zh-CN"/>
        </w:rPr>
        <w:t>由</w:t>
      </w:r>
      <w:bookmarkStart w:id="101" w:name="OLE_LINK21"/>
      <w:r>
        <w:rPr>
          <w:rFonts w:hint="eastAsia" w:ascii="仿宋_GB2312" w:hAnsi="仿宋_GB2312" w:eastAsia="仿宋_GB2312" w:cs="仿宋_GB2312"/>
          <w:color w:val="auto"/>
          <w:sz w:val="32"/>
          <w:szCs w:val="32"/>
          <w:highlight w:val="none"/>
          <w:lang w:val="en-US" w:eastAsia="zh-CN"/>
        </w:rPr>
        <w:t>获得奖励的工会</w:t>
      </w:r>
      <w:bookmarkEnd w:id="101"/>
      <w:r>
        <w:rPr>
          <w:rFonts w:hint="eastAsia" w:ascii="仿宋_GB2312" w:hAnsi="仿宋_GB2312" w:eastAsia="仿宋_GB2312" w:cs="仿宋_GB2312"/>
          <w:color w:val="auto"/>
          <w:sz w:val="32"/>
          <w:szCs w:val="32"/>
          <w:highlight w:val="none"/>
          <w:lang w:val="en-US" w:eastAsia="zh-CN"/>
        </w:rPr>
        <w:t>根据相关表彰文件、奖励名单等相关资料</w:t>
      </w:r>
      <w:bookmarkEnd w:id="99"/>
      <w:r>
        <w:rPr>
          <w:rFonts w:hint="eastAsia" w:ascii="仿宋_GB2312" w:hAnsi="仿宋_GB2312" w:eastAsia="仿宋_GB2312" w:cs="仿宋_GB2312"/>
          <w:color w:val="auto"/>
          <w:sz w:val="32"/>
          <w:szCs w:val="32"/>
          <w:highlight w:val="none"/>
          <w:lang w:val="en-US" w:eastAsia="zh-CN"/>
        </w:rPr>
        <w:t>，发起资金支付审批流程发放至获奖个人账户</w:t>
      </w:r>
      <w:bookmarkEnd w:id="100"/>
      <w:r>
        <w:rPr>
          <w:rFonts w:hint="eastAsia" w:ascii="仿宋_GB2312" w:hAnsi="仿宋_GB2312" w:eastAsia="仿宋_GB2312" w:cs="仿宋_GB2312"/>
          <w:color w:val="auto"/>
          <w:sz w:val="32"/>
          <w:szCs w:val="32"/>
          <w:highlight w:val="none"/>
          <w:lang w:val="en-US" w:eastAsia="zh-CN"/>
        </w:rPr>
        <w:t>。</w:t>
      </w:r>
    </w:p>
    <w:p w14:paraId="0878718B">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2.参加工会系统集体比赛获得的奖励资金，</w:t>
      </w:r>
      <w:bookmarkStart w:id="102" w:name="OLE_LINK20"/>
      <w:r>
        <w:rPr>
          <w:rFonts w:hint="eastAsia" w:ascii="仿宋_GB2312" w:hAnsi="仿宋_GB2312" w:eastAsia="仿宋_GB2312" w:cs="仿宋_GB2312"/>
          <w:color w:val="auto"/>
          <w:sz w:val="32"/>
          <w:szCs w:val="32"/>
          <w:highlight w:val="none"/>
          <w:lang w:val="en-US" w:eastAsia="zh-CN"/>
        </w:rPr>
        <w:t>由参加比赛人员对奖金的分配进行讨论签字后，由获得奖励的工会根据相关表彰文件、奖励名单等相关资料，发起资金支付审批流程发放至个人账户。</w:t>
      </w:r>
    </w:p>
    <w:bookmarkEnd w:id="93"/>
    <w:bookmarkEnd w:id="102"/>
    <w:p w14:paraId="071AE2D6">
      <w:pPr>
        <w:pStyle w:val="3"/>
        <w:keepNext w:val="0"/>
        <w:keepLines w:val="0"/>
        <w:pageBreakBefore w:val="0"/>
        <w:widowControl/>
        <w:kinsoku/>
        <w:wordWrap/>
        <w:overflowPunct/>
        <w:topLinePunct w:val="0"/>
        <w:autoSpaceDE/>
        <w:autoSpaceDN/>
        <w:bidi w:val="0"/>
        <w:adjustRightInd/>
        <w:snapToGrid/>
        <w:spacing w:line="576" w:lineRule="exact"/>
        <w:ind w:left="0" w:leftChars="0" w:firstLine="601" w:firstLineChars="0"/>
        <w:jc w:val="both"/>
        <w:rPr>
          <w:rFonts w:hint="eastAsia" w:ascii="仿宋_GB2312" w:hAnsi="仿宋_GB2312" w:eastAsia="仿宋_GB2312" w:cs="仿宋_GB2312"/>
          <w:color w:val="auto"/>
          <w:sz w:val="32"/>
          <w:szCs w:val="32"/>
          <w:lang w:val="en-US" w:eastAsia="zh-CN"/>
        </w:rPr>
      </w:pPr>
      <w:bookmarkStart w:id="103" w:name="OLE_LINK1"/>
      <w:r>
        <w:rPr>
          <w:rFonts w:hint="eastAsia" w:ascii="黑体" w:hAnsi="黑体" w:eastAsia="黑体" w:cs="黑体"/>
          <w:color w:val="auto"/>
          <w:w w:val="99"/>
          <w:kern w:val="2"/>
          <w:sz w:val="32"/>
          <w:szCs w:val="32"/>
          <w:lang w:val="en-US" w:eastAsia="zh-CN" w:bidi="ar-SA"/>
        </w:rPr>
        <w:t>第十</w:t>
      </w:r>
      <w:r>
        <w:rPr>
          <w:rFonts w:hint="eastAsia" w:ascii="黑体" w:hAnsi="黑体" w:eastAsia="黑体" w:cs="黑体"/>
          <w:color w:val="auto"/>
          <w:sz w:val="32"/>
          <w:szCs w:val="32"/>
          <w:lang w:val="en-US" w:eastAsia="zh-CN"/>
        </w:rPr>
        <w:t>四</w:t>
      </w:r>
      <w:r>
        <w:rPr>
          <w:rFonts w:hint="eastAsia" w:ascii="黑体" w:hAnsi="黑体" w:eastAsia="黑体" w:cs="黑体"/>
          <w:color w:val="auto"/>
          <w:w w:val="99"/>
          <w:kern w:val="2"/>
          <w:sz w:val="32"/>
          <w:szCs w:val="32"/>
          <w:lang w:val="en-US" w:eastAsia="zh-CN" w:bidi="ar-SA"/>
        </w:rPr>
        <w:t>条</w:t>
      </w:r>
      <w:bookmarkEnd w:id="103"/>
      <w:bookmarkStart w:id="104" w:name="_Toc425256966"/>
      <w:r>
        <w:rPr>
          <w:rFonts w:hint="eastAsia" w:ascii="黑体" w:hAnsi="黑体" w:eastAsia="黑体" w:cs="黑体"/>
          <w:color w:val="auto"/>
          <w:w w:val="99"/>
          <w:kern w:val="2"/>
          <w:sz w:val="32"/>
          <w:szCs w:val="32"/>
          <w:lang w:val="en-US" w:eastAsia="zh-CN" w:bidi="ar-SA"/>
        </w:rPr>
        <w:t xml:space="preserve">  </w:t>
      </w:r>
      <w:r>
        <w:rPr>
          <w:rFonts w:hint="eastAsia" w:ascii="仿宋_GB2312" w:hAnsi="仿宋_GB2312" w:eastAsia="仿宋_GB2312" w:cs="仿宋_GB2312"/>
          <w:color w:val="auto"/>
          <w:sz w:val="32"/>
          <w:szCs w:val="32"/>
          <w:lang w:val="en-US" w:eastAsia="zh-CN"/>
        </w:rPr>
        <w:t>工会差旅费用。工会组织开展的外出培训、外出参加文体活动、比赛、会议等产生的差旅费，参照</w:t>
      </w:r>
      <w:r>
        <w:rPr>
          <w:rFonts w:hint="eastAsia" w:ascii="仿宋_GB2312" w:hAnsi="仿宋_GB2312" w:eastAsia="仿宋_GB2312" w:cs="仿宋_GB2312"/>
          <w:color w:val="auto"/>
          <w:kern w:val="2"/>
          <w:sz w:val="32"/>
          <w:szCs w:val="32"/>
          <w:highlight w:val="none"/>
          <w:lang w:val="en-US" w:eastAsia="zh-CN"/>
        </w:rPr>
        <w:t>《茅台学院差旅费管理办法》</w:t>
      </w:r>
      <w:r>
        <w:rPr>
          <w:rFonts w:hint="eastAsia" w:ascii="仿宋_GB2312" w:hAnsi="仿宋_GB2312" w:eastAsia="仿宋_GB2312" w:cs="仿宋_GB2312"/>
          <w:color w:val="auto"/>
          <w:sz w:val="32"/>
          <w:szCs w:val="32"/>
          <w:lang w:val="en-US" w:eastAsia="zh-CN"/>
        </w:rPr>
        <w:t>执行，在工会经费中报销。</w:t>
      </w:r>
    </w:p>
    <w:p w14:paraId="38635F6D">
      <w:pPr>
        <w:pStyle w:val="8"/>
        <w:keepNext w:val="0"/>
        <w:keepLines w:val="0"/>
        <w:pageBreakBefore w:val="0"/>
        <w:numPr>
          <w:ilvl w:val="0"/>
          <w:numId w:val="0"/>
        </w:numPr>
        <w:kinsoku/>
        <w:wordWrap/>
        <w:overflowPunct/>
        <w:topLinePunct w:val="0"/>
        <w:autoSpaceDE/>
        <w:autoSpaceDN/>
        <w:bidi w:val="0"/>
        <w:adjustRightInd/>
        <w:snapToGrid/>
        <w:spacing w:line="576" w:lineRule="exact"/>
        <w:ind w:firstLine="640" w:firstLineChars="200"/>
        <w:jc w:val="both"/>
        <w:outlineLvl w:val="0"/>
        <w:rPr>
          <w:rFonts w:hint="eastAsia" w:ascii="仿宋_GB2312" w:hAnsi="仿宋_GB2312" w:eastAsia="仿宋_GB2312" w:cs="仿宋_GB2312"/>
          <w:b/>
          <w:bCs/>
          <w:color w:val="auto"/>
          <w:kern w:val="2"/>
          <w:sz w:val="32"/>
          <w:szCs w:val="32"/>
          <w:highlight w:val="none"/>
          <w:lang w:val="en-US" w:eastAsia="zh-CN" w:bidi="ar-SA"/>
        </w:rPr>
      </w:pPr>
      <w:bookmarkStart w:id="105" w:name="OLE_LINK72"/>
      <w:r>
        <w:rPr>
          <w:rFonts w:hint="eastAsia" w:ascii="黑体" w:hAnsi="黑体" w:eastAsia="黑体" w:cs="黑体"/>
          <w:color w:val="auto"/>
          <w:sz w:val="32"/>
          <w:szCs w:val="32"/>
          <w:lang w:val="en-US" w:eastAsia="zh-CN"/>
        </w:rPr>
        <w:t xml:space="preserve">第十五条  </w:t>
      </w:r>
      <w:r>
        <w:rPr>
          <w:rFonts w:hint="eastAsia" w:ascii="仿宋_GB2312" w:hAnsi="仿宋_GB2312" w:eastAsia="仿宋_GB2312" w:cs="仿宋_GB2312"/>
          <w:color w:val="auto"/>
          <w:kern w:val="2"/>
          <w:sz w:val="32"/>
          <w:szCs w:val="32"/>
          <w:highlight w:val="none"/>
          <w:lang w:val="en-US" w:eastAsia="zh-CN" w:bidi="ar-SA"/>
        </w:rPr>
        <w:t>工会组织的文体、会展等活动，确需购买外部服务的，</w:t>
      </w:r>
      <w:r>
        <w:rPr>
          <w:rFonts w:hint="eastAsia" w:ascii="仿宋_GB2312" w:hAnsi="仿宋_GB2312" w:eastAsia="仿宋_GB2312" w:cs="仿宋_GB2312"/>
          <w:color w:val="auto"/>
          <w:sz w:val="32"/>
          <w:szCs w:val="32"/>
          <w:highlight w:val="none"/>
        </w:rPr>
        <w:t>参照</w:t>
      </w:r>
      <w:r>
        <w:rPr>
          <w:rFonts w:hint="eastAsia" w:ascii="仿宋_GB2312" w:hAnsi="仿宋_GB2312" w:eastAsia="仿宋_GB2312" w:cs="仿宋_GB2312"/>
          <w:color w:val="auto"/>
          <w:sz w:val="32"/>
          <w:szCs w:val="32"/>
          <w:highlight w:val="none"/>
          <w:lang w:val="en-US" w:eastAsia="zh-CN"/>
        </w:rPr>
        <w:t>当地省（市）总工会文件及</w:t>
      </w:r>
      <w:r>
        <w:rPr>
          <w:rFonts w:hint="eastAsia" w:ascii="仿宋_GB2312" w:hAnsi="仿宋_GB2312" w:eastAsia="仿宋_GB2312" w:cs="仿宋_GB2312"/>
          <w:color w:val="auto"/>
          <w:kern w:val="2"/>
          <w:sz w:val="32"/>
          <w:szCs w:val="32"/>
          <w:highlight w:val="none"/>
          <w:lang w:val="en-US" w:eastAsia="zh-CN" w:bidi="ar-SA"/>
        </w:rPr>
        <w:t>《中国贵州茅台酒厂（集团）有限责任公司工会委员会采购管理实施细则》相关规定，履行必要的采购程序，选择相应单位承接</w:t>
      </w:r>
      <w:r>
        <w:rPr>
          <w:rFonts w:hint="eastAsia" w:ascii="仿宋_GB2312" w:hAnsi="仿宋_GB2312" w:eastAsia="仿宋_GB2312" w:cs="仿宋_GB2312"/>
          <w:color w:val="auto"/>
          <w:sz w:val="32"/>
          <w:szCs w:val="32"/>
          <w:lang w:val="en-US" w:eastAsia="zh-CN"/>
        </w:rPr>
        <w:t>。</w:t>
      </w:r>
    </w:p>
    <w:bookmarkEnd w:id="105"/>
    <w:p w14:paraId="65737105">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rPr>
          <w:rFonts w:hint="default" w:ascii="仿宋_GB2312" w:hAnsi="仿宋_GB2312" w:eastAsia="仿宋_GB2312" w:cs="仿宋_GB2312"/>
          <w:b/>
          <w:bCs/>
          <w:color w:val="auto"/>
          <w:kern w:val="2"/>
          <w:sz w:val="32"/>
          <w:szCs w:val="32"/>
          <w:highlight w:val="none"/>
          <w:lang w:val="en-US" w:eastAsia="zh-CN" w:bidi="ar-SA"/>
        </w:rPr>
      </w:pPr>
      <w:bookmarkStart w:id="106" w:name="OLE_LINK77"/>
      <w:r>
        <w:rPr>
          <w:rFonts w:hint="eastAsia" w:ascii="黑体" w:hAnsi="黑体" w:eastAsia="黑体" w:cs="黑体"/>
          <w:color w:val="auto"/>
          <w:sz w:val="32"/>
          <w:szCs w:val="32"/>
          <w:lang w:val="en-US" w:eastAsia="zh-CN"/>
        </w:rPr>
        <w:t xml:space="preserve">第十六条  </w:t>
      </w:r>
      <w:r>
        <w:rPr>
          <w:rFonts w:hint="eastAsia" w:ascii="仿宋_GB2312" w:hAnsi="仿宋_GB2312" w:eastAsia="仿宋_GB2312" w:cs="仿宋_GB2312"/>
          <w:color w:val="auto"/>
          <w:sz w:val="32"/>
          <w:szCs w:val="32"/>
          <w:highlight w:val="none"/>
          <w:lang w:val="en-US" w:eastAsia="zh-CN"/>
        </w:rPr>
        <w:t>除上述规定的开支外，在本办法规定的开支范围内的其他开支标准，结合工作实际，经学校工会相关会议研究审批后执行。</w:t>
      </w:r>
    </w:p>
    <w:bookmarkEnd w:id="106"/>
    <w:p w14:paraId="6DB3DC90">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center"/>
        <w:textAlignment w:val="auto"/>
        <w:outlineLvl w:val="0"/>
        <w:rPr>
          <w:rFonts w:hint="default" w:ascii="黑体" w:hAnsi="黑体" w:eastAsia="黑体" w:cs="黑体"/>
          <w:b w:val="0"/>
          <w:bCs w:val="0"/>
          <w:color w:val="auto"/>
          <w:sz w:val="30"/>
          <w:szCs w:val="30"/>
          <w:lang w:val="en-US" w:eastAsia="zh-CN"/>
        </w:rPr>
      </w:pPr>
      <w:bookmarkStart w:id="107" w:name="OLE_LINK85"/>
      <w:r>
        <w:rPr>
          <w:rFonts w:hint="eastAsia" w:ascii="方正小标宋简体" w:hAnsi="方正小标宋简体" w:eastAsia="方正小标宋简体" w:cs="方正小标宋简体"/>
          <w:b w:val="0"/>
          <w:bCs/>
          <w:color w:val="auto"/>
          <w:kern w:val="2"/>
          <w:sz w:val="32"/>
          <w:szCs w:val="32"/>
          <w:lang w:val="en-US" w:eastAsia="zh-CN" w:bidi="ar-SA"/>
        </w:rPr>
        <w:t>第四章  财务管理</w:t>
      </w:r>
    </w:p>
    <w:bookmarkEnd w:id="107"/>
    <w:p w14:paraId="4D7B0FC6">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sz w:val="32"/>
          <w:szCs w:val="32"/>
          <w:lang w:val="en-US" w:eastAsia="zh-CN"/>
        </w:rPr>
      </w:pPr>
      <w:bookmarkStart w:id="108" w:name="OLE_LINK86"/>
      <w:r>
        <w:rPr>
          <w:rFonts w:hint="eastAsia" w:ascii="黑体" w:hAnsi="黑体" w:eastAsia="黑体" w:cs="黑体"/>
          <w:b w:val="0"/>
          <w:bCs w:val="0"/>
          <w:color w:val="auto"/>
          <w:sz w:val="32"/>
          <w:szCs w:val="32"/>
          <w:lang w:val="en-US" w:eastAsia="zh-CN"/>
        </w:rPr>
        <w:t xml:space="preserve">第十七条  </w:t>
      </w:r>
      <w:r>
        <w:rPr>
          <w:rFonts w:hint="eastAsia" w:ascii="仿宋_GB2312" w:hAnsi="仿宋_GB2312" w:eastAsia="仿宋_GB2312" w:cs="仿宋_GB2312"/>
          <w:color w:val="auto"/>
          <w:sz w:val="32"/>
          <w:szCs w:val="32"/>
          <w:lang w:val="en-US" w:eastAsia="zh-CN"/>
        </w:rPr>
        <w:t>工会主席对学校工会会计工作和会计资料的真实性、完整性负责。学校工会应加强财务管理制度建设，健全完善费用报销、资产管理、资金使用等内部管理制度，各项收支实行工会委员会集体领导下的主席负责制，重大收支须集体研究决定。</w:t>
      </w:r>
    </w:p>
    <w:bookmarkEnd w:id="108"/>
    <w:p w14:paraId="7E894E1A">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rPr>
          <w:rFonts w:hint="default"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 xml:space="preserve">第十八条  </w:t>
      </w:r>
      <w:r>
        <w:rPr>
          <w:rFonts w:hint="eastAsia" w:ascii="仿宋_GB2312" w:hAnsi="仿宋_GB2312" w:eastAsia="仿宋_GB2312" w:cs="仿宋_GB2312"/>
          <w:color w:val="auto"/>
          <w:sz w:val="32"/>
          <w:szCs w:val="32"/>
          <w:lang w:val="en-US" w:eastAsia="zh-CN"/>
        </w:rPr>
        <w:t>学校工会根据国家和上级工会有关政策规定，制定年度工会工作计划，依法、真实、完整、合理地编制工会经费年度预算，依法履行必要程序后报上级工会。严禁无预算、超预算使用工会经费，确因单位工作需要调整年度预算的，在每年</w:t>
      </w:r>
      <w:r>
        <w:rPr>
          <w:rFonts w:hint="eastAsia" w:ascii="仿宋_GB2312" w:hAnsi="仿宋_GB2312" w:eastAsia="仿宋_GB2312" w:cs="仿宋_GB2312"/>
          <w:color w:val="auto"/>
          <w:sz w:val="32"/>
          <w:szCs w:val="32"/>
          <w:highlight w:val="none"/>
          <w:lang w:val="en-US" w:eastAsia="zh-CN"/>
        </w:rPr>
        <w:t>10月底</w:t>
      </w:r>
      <w:r>
        <w:rPr>
          <w:rFonts w:hint="eastAsia" w:ascii="仿宋_GB2312" w:hAnsi="仿宋_GB2312" w:eastAsia="仿宋_GB2312" w:cs="仿宋_GB2312"/>
          <w:color w:val="auto"/>
          <w:sz w:val="32"/>
          <w:szCs w:val="32"/>
          <w:lang w:val="en-US" w:eastAsia="zh-CN"/>
        </w:rPr>
        <w:t>前调整结束，调整预算的编制审批程序与年初预算编制审批程序一致，原则上一年只能调整一次。学校工会经费年度财务决算需经本级经费审查委员会审查、同级工会委员会审批同意，并按时向上级工会报备。</w:t>
      </w:r>
    </w:p>
    <w:p w14:paraId="6FD51B95">
      <w:pPr>
        <w:pStyle w:val="8"/>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rPr>
          <w:rFonts w:hint="eastAsia" w:ascii="仿宋_GB2312" w:hAnsi="仿宋_GB2312" w:eastAsia="仿宋_GB2312" w:cs="仿宋_GB2312"/>
          <w:color w:val="auto"/>
          <w:sz w:val="32"/>
          <w:szCs w:val="32"/>
          <w:highlight w:val="none"/>
          <w:lang w:val="en-US" w:eastAsia="zh-CN"/>
        </w:rPr>
      </w:pPr>
      <w:bookmarkStart w:id="109" w:name="OLE_LINK78"/>
      <w:r>
        <w:rPr>
          <w:rFonts w:hint="eastAsia" w:ascii="黑体" w:hAnsi="黑体" w:eastAsia="黑体" w:cs="黑体"/>
          <w:b w:val="0"/>
          <w:bCs w:val="0"/>
          <w:color w:val="auto"/>
          <w:sz w:val="32"/>
          <w:szCs w:val="32"/>
          <w:lang w:val="en-US" w:eastAsia="zh-CN"/>
        </w:rPr>
        <w:t xml:space="preserve">第十九条  </w:t>
      </w:r>
      <w:r>
        <w:rPr>
          <w:rFonts w:hint="eastAsia" w:ascii="仿宋_GB2312" w:hAnsi="仿宋_GB2312" w:eastAsia="仿宋_GB2312" w:cs="仿宋_GB2312"/>
          <w:color w:val="auto"/>
          <w:sz w:val="32"/>
          <w:szCs w:val="32"/>
          <w:highlight w:val="none"/>
          <w:lang w:val="en-US" w:eastAsia="zh-CN"/>
        </w:rPr>
        <w:t>工会活动方案审核流程：</w:t>
      </w:r>
    </w:p>
    <w:p w14:paraId="39EECEE4">
      <w:pPr>
        <w:pStyle w:val="8"/>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（一）工会单项活动费用1万元以下的，经学校工会副主席审批后开展；</w:t>
      </w:r>
    </w:p>
    <w:p w14:paraId="2991ACB5">
      <w:pPr>
        <w:pStyle w:val="8"/>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（二）单项活动费用在1万元以上不满10万元的，</w:t>
      </w:r>
      <w:bookmarkStart w:id="110" w:name="OLE_LINK113"/>
      <w:r>
        <w:rPr>
          <w:rFonts w:hint="eastAsia" w:ascii="仿宋_GB2312" w:hAnsi="仿宋_GB2312" w:eastAsia="仿宋_GB2312" w:cs="仿宋_GB2312"/>
          <w:color w:val="auto"/>
          <w:sz w:val="32"/>
          <w:szCs w:val="32"/>
          <w:highlight w:val="none"/>
          <w:lang w:val="en-US" w:eastAsia="zh-CN"/>
        </w:rPr>
        <w:t>根据活动性质，将方案提前报财经委员初审、工会副主席复核，并报工会主席审批通过后开展；</w:t>
      </w:r>
      <w:bookmarkEnd w:id="110"/>
    </w:p>
    <w:p w14:paraId="2482A179">
      <w:pPr>
        <w:pStyle w:val="8"/>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（三）单项活动费用在10万元以上的，</w:t>
      </w:r>
      <w:bookmarkEnd w:id="109"/>
      <w:r>
        <w:rPr>
          <w:rFonts w:hint="eastAsia" w:ascii="仿宋_GB2312" w:hAnsi="仿宋_GB2312" w:eastAsia="仿宋_GB2312" w:cs="仿宋_GB2312"/>
          <w:color w:val="auto"/>
          <w:sz w:val="32"/>
          <w:szCs w:val="32"/>
          <w:highlight w:val="none"/>
          <w:lang w:val="en-US" w:eastAsia="zh-CN"/>
        </w:rPr>
        <w:t>根据活动性质，将方案提前报财经委员、工会副主席初审，工会主席复核，并报</w:t>
      </w:r>
      <w:r>
        <w:rPr>
          <w:rFonts w:hint="eastAsia" w:ascii="仿宋_GB2312" w:hAnsi="仿宋_GB2312" w:eastAsia="仿宋_GB2312" w:cs="仿宋_GB2312"/>
          <w:color w:val="auto"/>
          <w:sz w:val="32"/>
          <w:szCs w:val="32"/>
          <w:lang w:val="en-US" w:eastAsia="zh-CN"/>
        </w:rPr>
        <w:t>同级工会委员会审批同意</w:t>
      </w:r>
      <w:r>
        <w:rPr>
          <w:rFonts w:hint="eastAsia" w:ascii="仿宋_GB2312" w:hAnsi="仿宋_GB2312" w:eastAsia="仿宋_GB2312" w:cs="仿宋_GB2312"/>
          <w:color w:val="auto"/>
          <w:sz w:val="32"/>
          <w:szCs w:val="32"/>
          <w:highlight w:val="none"/>
          <w:lang w:val="en-US" w:eastAsia="zh-CN"/>
        </w:rPr>
        <w:t>审批通过后开展。</w:t>
      </w:r>
    </w:p>
    <w:p w14:paraId="4A264872">
      <w:pPr>
        <w:pStyle w:val="8"/>
        <w:keepNext w:val="0"/>
        <w:keepLines w:val="0"/>
        <w:pageBreakBefore w:val="0"/>
        <w:kinsoku/>
        <w:wordWrap/>
        <w:overflowPunct/>
        <w:topLinePunct w:val="0"/>
        <w:autoSpaceDE/>
        <w:autoSpaceDN/>
        <w:bidi w:val="0"/>
        <w:adjustRightInd/>
        <w:snapToGrid/>
        <w:spacing w:line="576" w:lineRule="exact"/>
        <w:ind w:left="0" w:leftChars="0" w:firstLine="601" w:firstLineChars="0"/>
        <w:jc w:val="both"/>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 xml:space="preserve">第二十条  </w:t>
      </w:r>
      <w:r>
        <w:rPr>
          <w:rFonts w:hint="eastAsia" w:ascii="仿宋_GB2312" w:hAnsi="仿宋_GB2312" w:eastAsia="仿宋_GB2312" w:cs="仿宋_GB2312"/>
          <w:color w:val="auto"/>
          <w:sz w:val="32"/>
          <w:szCs w:val="32"/>
          <w:lang w:val="en-US" w:eastAsia="zh-CN"/>
        </w:rPr>
        <w:t>资金支付流程：工会经费报销应在活动结束后参照《茅台学院资金支付审批管理办法》，在20个工作日内填写对应的《茅台学院工会委员会资金支付审批流程单》。</w:t>
      </w:r>
    </w:p>
    <w:p w14:paraId="5B67999E">
      <w:pPr>
        <w:pStyle w:val="8"/>
        <w:keepNext w:val="0"/>
        <w:keepLines w:val="0"/>
        <w:pageBreakBefore w:val="0"/>
        <w:numPr>
          <w:ilvl w:val="0"/>
          <w:numId w:val="0"/>
        </w:numPr>
        <w:kinsoku/>
        <w:wordWrap/>
        <w:overflowPunct/>
        <w:topLinePunct w:val="0"/>
        <w:autoSpaceDE/>
        <w:autoSpaceDN/>
        <w:bidi w:val="0"/>
        <w:adjustRightInd/>
        <w:snapToGrid/>
        <w:spacing w:line="576" w:lineRule="exact"/>
        <w:ind w:left="0" w:leftChars="0" w:firstLine="601" w:firstLineChars="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（一）</w:t>
      </w:r>
      <w:r>
        <w:rPr>
          <w:rFonts w:hint="eastAsia" w:ascii="仿宋_GB2312" w:hAnsi="仿宋_GB2312" w:eastAsia="仿宋_GB2312" w:cs="仿宋_GB2312"/>
          <w:color w:val="auto"/>
          <w:sz w:val="32"/>
          <w:szCs w:val="32"/>
          <w:highlight w:val="none"/>
          <w:lang w:val="en-US" w:eastAsia="zh-CN"/>
        </w:rPr>
        <w:t>单笔资金1万元以下的，由经办人填报，工会副主席审核审批，财经委员、会计复核；</w:t>
      </w:r>
    </w:p>
    <w:p w14:paraId="2BAECC74">
      <w:pPr>
        <w:pStyle w:val="8"/>
        <w:keepNext w:val="0"/>
        <w:keepLines w:val="0"/>
        <w:pageBreakBefore w:val="0"/>
        <w:numPr>
          <w:ilvl w:val="0"/>
          <w:numId w:val="0"/>
        </w:numPr>
        <w:kinsoku/>
        <w:wordWrap/>
        <w:overflowPunct/>
        <w:topLinePunct w:val="0"/>
        <w:autoSpaceDE/>
        <w:autoSpaceDN/>
        <w:bidi w:val="0"/>
        <w:adjustRightInd/>
        <w:snapToGrid/>
        <w:spacing w:line="576" w:lineRule="exact"/>
        <w:ind w:left="0" w:leftChars="0" w:firstLine="601" w:firstLineChars="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（二）</w:t>
      </w:r>
      <w:r>
        <w:rPr>
          <w:rFonts w:hint="eastAsia" w:ascii="仿宋_GB2312" w:hAnsi="仿宋_GB2312" w:eastAsia="仿宋_GB2312" w:cs="仿宋_GB2312"/>
          <w:color w:val="auto"/>
          <w:sz w:val="32"/>
          <w:szCs w:val="32"/>
          <w:highlight w:val="none"/>
          <w:lang w:val="en-US" w:eastAsia="zh-CN"/>
        </w:rPr>
        <w:t>单笔资金在1万元以上不满10万元的，由经办人填报，工会副主席审核，财经委员、会计复核，报工会主席审批；</w:t>
      </w:r>
    </w:p>
    <w:p w14:paraId="7FAB4D5A">
      <w:pPr>
        <w:pStyle w:val="8"/>
        <w:keepNext w:val="0"/>
        <w:keepLines w:val="0"/>
        <w:pageBreakBefore w:val="0"/>
        <w:numPr>
          <w:ilvl w:val="0"/>
          <w:numId w:val="0"/>
        </w:numPr>
        <w:kinsoku/>
        <w:wordWrap/>
        <w:overflowPunct/>
        <w:topLinePunct w:val="0"/>
        <w:autoSpaceDE/>
        <w:autoSpaceDN/>
        <w:bidi w:val="0"/>
        <w:adjustRightInd/>
        <w:snapToGrid/>
        <w:spacing w:line="576" w:lineRule="exact"/>
        <w:ind w:left="0" w:leftChars="0" w:firstLine="601" w:firstLineChars="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（三）单笔资金在10万元以上的，由经办人填报，附同级工会委员会审批同意会议纪要，工会副主席审核，财经委员、会计复核，报工会主席审批。</w:t>
      </w:r>
    </w:p>
    <w:p w14:paraId="50AEAB6F">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w w:val="99"/>
          <w:kern w:val="2"/>
          <w:sz w:val="32"/>
          <w:szCs w:val="32"/>
          <w:lang w:val="en-US" w:eastAsia="zh-CN" w:bidi="ar-SA"/>
        </w:rPr>
      </w:pPr>
      <w:r>
        <w:rPr>
          <w:rFonts w:hint="eastAsia" w:ascii="黑体" w:hAnsi="黑体" w:eastAsia="黑体" w:cs="黑体"/>
          <w:b w:val="0"/>
          <w:bCs w:val="0"/>
          <w:color w:val="auto"/>
          <w:sz w:val="32"/>
          <w:szCs w:val="32"/>
          <w:lang w:val="en-US" w:eastAsia="zh-CN"/>
        </w:rPr>
        <w:t xml:space="preserve">第二十一条  </w:t>
      </w:r>
      <w:r>
        <w:rPr>
          <w:rFonts w:hint="eastAsia" w:ascii="仿宋_GB2312" w:hAnsi="仿宋_GB2312" w:eastAsia="仿宋_GB2312" w:cs="仿宋_GB2312"/>
          <w:color w:val="auto"/>
          <w:kern w:val="2"/>
          <w:sz w:val="32"/>
          <w:szCs w:val="32"/>
          <w:lang w:val="en-US" w:eastAsia="zh-CN" w:bidi="ar-SA"/>
        </w:rPr>
        <w:t>开展活动需借款，由具体经办人借支。借款人需填写“借款凭证”，说明借款事由。单笔借款1万元以下的，由工会副主席审批后借支；借款在1万元以上的，由工会主席审批后借支；活动结束，借款人凭有效票据冲抵借款或退还借款，原则上“前款不清，后款不借”。</w:t>
      </w:r>
    </w:p>
    <w:p w14:paraId="25946CC1">
      <w:pPr>
        <w:pStyle w:val="8"/>
        <w:keepNext w:val="0"/>
        <w:keepLines w:val="0"/>
        <w:pageBreakBefore w:val="0"/>
        <w:kinsoku/>
        <w:wordWrap/>
        <w:overflowPunct/>
        <w:topLinePunct w:val="0"/>
        <w:autoSpaceDE/>
        <w:autoSpaceDN/>
        <w:bidi w:val="0"/>
        <w:adjustRightInd/>
        <w:snapToGrid/>
        <w:spacing w:line="576" w:lineRule="exact"/>
        <w:ind w:left="0" w:leftChars="0" w:firstLine="601" w:firstLineChars="0"/>
        <w:jc w:val="both"/>
        <w:rPr>
          <w:rFonts w:ascii="仿宋_GB2312" w:hAnsi="仿宋_GB2312" w:eastAsia="仿宋_GB2312" w:cs="仿宋_GB2312"/>
          <w:color w:val="auto"/>
          <w:sz w:val="32"/>
          <w:szCs w:val="32"/>
          <w:lang w:val="en-US" w:eastAsia="zh-CN"/>
        </w:rPr>
      </w:pPr>
      <w:r>
        <w:rPr>
          <w:rFonts w:hint="eastAsia" w:ascii="黑体" w:hAnsi="黑体" w:eastAsia="黑体" w:cs="黑体"/>
          <w:color w:val="auto"/>
          <w:sz w:val="30"/>
          <w:szCs w:val="30"/>
          <w:lang w:val="en-US" w:eastAsia="zh-CN"/>
        </w:rPr>
        <w:t xml:space="preserve">第二十二条  </w:t>
      </w:r>
      <w:r>
        <w:rPr>
          <w:rFonts w:hint="eastAsia" w:ascii="仿宋_GB2312" w:hAnsi="仿宋_GB2312" w:eastAsia="仿宋_GB2312" w:cs="仿宋_GB2312"/>
          <w:color w:val="auto"/>
          <w:sz w:val="32"/>
          <w:szCs w:val="32"/>
          <w:lang w:val="en-US" w:eastAsia="zh-CN"/>
        </w:rPr>
        <w:t>经费开支必须取得增值税发票或其他合法合规的票据，开票信息：</w:t>
      </w:r>
    </w:p>
    <w:p w14:paraId="39A883AD">
      <w:pPr>
        <w:keepNext w:val="0"/>
        <w:keepLines w:val="0"/>
        <w:pageBreakBefore w:val="0"/>
        <w:widowControl/>
        <w:shd w:val="clear" w:color="auto" w:fill="FFFFFF"/>
        <w:kinsoku/>
        <w:wordWrap/>
        <w:overflowPunct/>
        <w:topLinePunct w:val="0"/>
        <w:autoSpaceDE/>
        <w:autoSpaceDN/>
        <w:bidi w:val="0"/>
        <w:adjustRightInd/>
        <w:snapToGrid/>
        <w:spacing w:line="576" w:lineRule="exact"/>
        <w:ind w:left="0" w:leftChars="0" w:firstLine="601" w:firstLineChars="0"/>
        <w:jc w:val="left"/>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名称：茅台学院工会委员会</w:t>
      </w:r>
    </w:p>
    <w:p w14:paraId="5CF297AD">
      <w:pPr>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rPr>
          <w:rFonts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纳税人识别号：81520382MC424062XQ</w:t>
      </w:r>
    </w:p>
    <w:p w14:paraId="27FCE055">
      <w:pPr>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开户行：中国农业银行股份有限公司仁怀茅台支行</w:t>
      </w:r>
    </w:p>
    <w:p w14:paraId="51BBBEFA">
      <w:pPr>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账号：23354001040003238</w:t>
      </w:r>
    </w:p>
    <w:p w14:paraId="7BDA8F65">
      <w:pPr>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地址：贵州省仁怀市南部新城</w:t>
      </w:r>
    </w:p>
    <w:p w14:paraId="127B8074">
      <w:pPr>
        <w:pStyle w:val="8"/>
        <w:keepNext w:val="0"/>
        <w:keepLines w:val="0"/>
        <w:pageBreakBefore w:val="0"/>
        <w:kinsoku/>
        <w:wordWrap/>
        <w:overflowPunct/>
        <w:topLinePunct w:val="0"/>
        <w:autoSpaceDE/>
        <w:autoSpaceDN/>
        <w:bidi w:val="0"/>
        <w:adjustRightInd/>
        <w:snapToGrid/>
        <w:spacing w:line="576" w:lineRule="exact"/>
        <w:ind w:left="0" w:leftChars="0" w:firstLine="601" w:firstLineChars="0"/>
        <w:jc w:val="both"/>
        <w:rPr>
          <w:rFonts w:hint="eastAsia" w:ascii="仿宋_GB2312" w:hAnsi="仿宋_GB2312" w:eastAsia="仿宋_GB2312" w:cs="仿宋_GB2312"/>
          <w:color w:val="auto"/>
          <w:w w:val="99"/>
          <w:kern w:val="2"/>
          <w:sz w:val="32"/>
          <w:szCs w:val="32"/>
          <w:lang w:val="en-US" w:eastAsia="zh-CN" w:bidi="ar-SA"/>
        </w:rPr>
      </w:pPr>
      <w:r>
        <w:rPr>
          <w:rFonts w:hint="eastAsia" w:ascii="仿宋_GB2312" w:hAnsi="仿宋_GB2312" w:eastAsia="仿宋_GB2312" w:cs="仿宋_GB2312"/>
          <w:color w:val="auto"/>
          <w:sz w:val="32"/>
          <w:szCs w:val="32"/>
          <w:lang w:val="en-US" w:eastAsia="zh-CN"/>
        </w:rPr>
        <w:t>原始单据必须内容完整，发票不得有涂改、挖补、刮擦等现象。</w:t>
      </w:r>
    </w:p>
    <w:p w14:paraId="75136AB2">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rPr>
          <w:rFonts w:hint="eastAsia" w:ascii="仿宋_GB2312" w:hAnsi="仿宋_GB2312" w:eastAsia="仿宋_GB2312" w:cs="仿宋_GB2312"/>
          <w:color w:val="auto"/>
          <w:kern w:val="2"/>
          <w:sz w:val="32"/>
          <w:szCs w:val="32"/>
          <w:lang w:val="en-US" w:eastAsia="zh-CN" w:bidi="ar-SA"/>
        </w:rPr>
      </w:pPr>
      <w:bookmarkStart w:id="111" w:name="OLE_LINK79"/>
      <w:r>
        <w:rPr>
          <w:rFonts w:hint="eastAsia" w:ascii="黑体" w:hAnsi="黑体" w:eastAsia="黑体" w:cs="黑体"/>
          <w:b w:val="0"/>
          <w:bCs w:val="0"/>
          <w:color w:val="auto"/>
          <w:sz w:val="30"/>
          <w:szCs w:val="30"/>
          <w:lang w:val="en-US" w:eastAsia="zh-CN"/>
        </w:rPr>
        <w:t>第二十三条</w:t>
      </w:r>
      <w:bookmarkEnd w:id="104"/>
      <w:r>
        <w:rPr>
          <w:rFonts w:hint="eastAsia" w:ascii="黑体" w:hAnsi="黑体" w:eastAsia="黑体" w:cs="黑体"/>
          <w:b w:val="0"/>
          <w:bCs w:val="0"/>
          <w:color w:val="auto"/>
          <w:sz w:val="30"/>
          <w:szCs w:val="30"/>
          <w:lang w:val="en-US" w:eastAsia="zh-CN"/>
        </w:rPr>
        <w:t xml:space="preserve">  </w:t>
      </w:r>
      <w:r>
        <w:rPr>
          <w:rFonts w:hint="eastAsia" w:ascii="仿宋_GB2312" w:hAnsi="仿宋_GB2312" w:eastAsia="仿宋_GB2312" w:cs="仿宋_GB2312"/>
          <w:color w:val="auto"/>
          <w:kern w:val="2"/>
          <w:sz w:val="32"/>
          <w:szCs w:val="32"/>
          <w:lang w:val="en-US" w:eastAsia="zh-CN" w:bidi="ar-SA"/>
        </w:rPr>
        <w:t>工会经费各项开支，报销时需附上活动方案、会议纪要、活动通知、费用明细清单，所报销的款项要与活动费用明细清单列支款项吻合。发票要写明具体品名、数量、单价；奖金、物品发放要有签领单（个人奖励由个人签字认领、集体奖励由队长签字认领），用餐要有用餐人员名单。</w:t>
      </w:r>
    </w:p>
    <w:bookmarkEnd w:id="111"/>
    <w:p w14:paraId="7AB34741">
      <w:pPr>
        <w:pStyle w:val="8"/>
        <w:keepNext w:val="0"/>
        <w:keepLines w:val="0"/>
        <w:pageBreakBefore w:val="0"/>
        <w:kinsoku/>
        <w:wordWrap/>
        <w:overflowPunct/>
        <w:topLinePunct w:val="0"/>
        <w:autoSpaceDE/>
        <w:autoSpaceDN/>
        <w:bidi w:val="0"/>
        <w:adjustRightInd/>
        <w:snapToGrid/>
        <w:spacing w:line="576" w:lineRule="exact"/>
        <w:ind w:left="0" w:leftChars="0" w:firstLine="601" w:firstLineChars="0"/>
        <w:jc w:val="both"/>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0"/>
          <w:szCs w:val="30"/>
          <w:lang w:val="en-US" w:eastAsia="zh-CN"/>
        </w:rPr>
        <w:t xml:space="preserve">第二十四条  </w:t>
      </w:r>
      <w:r>
        <w:rPr>
          <w:rFonts w:hint="eastAsia" w:ascii="仿宋_GB2312" w:hAnsi="仿宋_GB2312" w:eastAsia="仿宋_GB2312" w:cs="仿宋_GB2312"/>
          <w:color w:val="auto"/>
          <w:sz w:val="32"/>
          <w:szCs w:val="32"/>
          <w:lang w:val="en-US" w:eastAsia="zh-CN"/>
        </w:rPr>
        <w:t>因财务工作人员调离、离职等原因工作变动，需要交接人、移交人、监交人对以前年度会计资料逐一核对。1.所有凭证、所有账本，逐一盘点；2.将银行对账单和账目上进行核对；3.交接现金，并和现金账进行核对；4.财务章交接；5.电子数据资料的交接与备份；6.账务处理相关软件移交。各类总账、明细账核对后填写有关交接报告，交接人、移交人、监交人工会负责人签字。</w:t>
      </w:r>
    </w:p>
    <w:p w14:paraId="15644443">
      <w:pPr>
        <w:keepNext w:val="0"/>
        <w:keepLines w:val="0"/>
        <w:pageBreakBefore w:val="0"/>
        <w:kinsoku/>
        <w:wordWrap/>
        <w:overflowPunct/>
        <w:topLinePunct w:val="0"/>
        <w:autoSpaceDE/>
        <w:autoSpaceDN/>
        <w:bidi w:val="0"/>
        <w:adjustRightInd/>
        <w:snapToGrid/>
        <w:spacing w:line="576" w:lineRule="exact"/>
        <w:ind w:left="0" w:leftChars="0" w:firstLine="601" w:firstLineChars="0"/>
        <w:jc w:val="center"/>
        <w:rPr>
          <w:rFonts w:hint="eastAsia" w:ascii="黑体" w:hAnsi="黑体" w:eastAsia="黑体" w:cs="黑体"/>
          <w:color w:val="auto"/>
          <w:sz w:val="30"/>
          <w:szCs w:val="30"/>
          <w:lang w:val="en-US" w:eastAsia="zh-CN"/>
        </w:rPr>
      </w:pPr>
      <w:r>
        <w:rPr>
          <w:rFonts w:hint="eastAsia" w:ascii="方正小标宋简体" w:hAnsi="方正小标宋简体" w:eastAsia="方正小标宋简体" w:cs="方正小标宋简体"/>
          <w:b w:val="0"/>
          <w:bCs/>
          <w:color w:val="auto"/>
          <w:sz w:val="32"/>
          <w:szCs w:val="32"/>
          <w:lang w:val="en-US" w:eastAsia="zh-CN"/>
        </w:rPr>
        <w:t>第五章  纪律与监督</w:t>
      </w:r>
    </w:p>
    <w:p w14:paraId="7ECFA2DB">
      <w:pPr>
        <w:pStyle w:val="8"/>
        <w:keepNext w:val="0"/>
        <w:keepLines w:val="0"/>
        <w:pageBreakBefore w:val="0"/>
        <w:kinsoku/>
        <w:wordWrap/>
        <w:overflowPunct/>
        <w:topLinePunct w:val="0"/>
        <w:autoSpaceDE/>
        <w:autoSpaceDN/>
        <w:bidi w:val="0"/>
        <w:adjustRightInd/>
        <w:snapToGrid/>
        <w:spacing w:line="576" w:lineRule="exact"/>
        <w:ind w:left="0" w:leftChars="0" w:firstLine="601" w:firstLineChars="0"/>
        <w:jc w:val="both"/>
        <w:rPr>
          <w:rFonts w:hint="eastAsia" w:ascii="黑体" w:hAnsi="黑体" w:eastAsia="黑体" w:cs="黑体"/>
          <w:color w:val="auto"/>
          <w:sz w:val="30"/>
          <w:szCs w:val="30"/>
          <w:lang w:val="en-US" w:eastAsia="zh-CN"/>
        </w:rPr>
      </w:pPr>
      <w:bookmarkStart w:id="112" w:name="OLE_LINK80"/>
      <w:r>
        <w:rPr>
          <w:rFonts w:hint="eastAsia" w:ascii="黑体" w:hAnsi="黑体" w:eastAsia="黑体" w:cs="黑体"/>
          <w:color w:val="auto"/>
          <w:sz w:val="30"/>
          <w:szCs w:val="30"/>
          <w:lang w:val="en-US" w:eastAsia="zh-CN"/>
        </w:rPr>
        <w:t xml:space="preserve">第二十五条  </w:t>
      </w:r>
      <w:r>
        <w:rPr>
          <w:rFonts w:hint="eastAsia" w:ascii="仿宋_GB2312" w:hAnsi="仿宋_GB2312" w:eastAsia="仿宋_GB2312" w:cs="仿宋_GB2312"/>
          <w:color w:val="auto"/>
          <w:sz w:val="32"/>
          <w:szCs w:val="32"/>
          <w:lang w:val="en-US" w:eastAsia="zh-CN"/>
        </w:rPr>
        <w:t>学校工会要规范工会财务管理：严格遵守国家和上级工会有关规定，经费支出应严格控制在年度预算范围内；严格按规定收缴工会经费，工会会员要及时足额缴纳会费；不得借举办工会活动违规发放补贴；不得借疗休养和春游秋游名义变相公款旅游；不得将应在单位行政列支的费用转到工会账户支出。</w:t>
      </w:r>
    </w:p>
    <w:bookmarkEnd w:id="112"/>
    <w:p w14:paraId="51A18AB0">
      <w:pPr>
        <w:pStyle w:val="8"/>
        <w:keepNext w:val="0"/>
        <w:keepLines w:val="0"/>
        <w:pageBreakBefore w:val="0"/>
        <w:kinsoku/>
        <w:wordWrap/>
        <w:overflowPunct/>
        <w:topLinePunct w:val="0"/>
        <w:autoSpaceDE/>
        <w:autoSpaceDN/>
        <w:bidi w:val="0"/>
        <w:adjustRightInd/>
        <w:snapToGrid/>
        <w:spacing w:line="576" w:lineRule="exact"/>
        <w:ind w:left="0" w:leftChars="0" w:firstLine="601" w:firstLineChars="0"/>
        <w:jc w:val="both"/>
        <w:rPr>
          <w:rFonts w:ascii="仿宋_GB2312" w:hAnsi="仿宋_GB2312" w:eastAsia="仿宋_GB2312" w:cs="仿宋_GB2312"/>
          <w:color w:val="auto"/>
          <w:sz w:val="32"/>
          <w:szCs w:val="32"/>
          <w:lang w:val="en-US" w:eastAsia="zh-CN"/>
        </w:rPr>
      </w:pPr>
      <w:r>
        <w:rPr>
          <w:rFonts w:hint="eastAsia" w:ascii="黑体" w:hAnsi="黑体" w:eastAsia="黑体" w:cs="黑体"/>
          <w:color w:val="auto"/>
          <w:sz w:val="30"/>
          <w:szCs w:val="30"/>
          <w:lang w:val="en-US" w:eastAsia="zh-CN"/>
        </w:rPr>
        <w:t xml:space="preserve">第二十六条  </w:t>
      </w:r>
      <w:r>
        <w:rPr>
          <w:rFonts w:hint="eastAsia" w:ascii="仿宋_GB2312" w:hAnsi="仿宋_GB2312" w:eastAsia="仿宋_GB2312" w:cs="仿宋_GB2312"/>
          <w:color w:val="auto"/>
          <w:sz w:val="32"/>
          <w:szCs w:val="32"/>
          <w:lang w:val="en-US" w:eastAsia="zh-CN"/>
        </w:rPr>
        <w:t>学校工会的财产、经费和国家拨给工会使用的不动产，任何组织和个人不得侵占、挪用和任意调拨。</w:t>
      </w:r>
    </w:p>
    <w:p w14:paraId="0EA38E95">
      <w:pPr>
        <w:keepNext w:val="0"/>
        <w:keepLines w:val="0"/>
        <w:pageBreakBefore w:val="0"/>
        <w:wordWrap/>
        <w:overflowPunct/>
        <w:topLinePunct w:val="0"/>
        <w:bidi w:val="0"/>
        <w:spacing w:line="576" w:lineRule="exact"/>
        <w:ind w:firstLine="600" w:firstLineChars="200"/>
        <w:jc w:val="both"/>
        <w:rPr>
          <w:rFonts w:hint="eastAsia" w:ascii="仿宋_GB2312" w:hAnsi="仿宋_GB2312" w:eastAsia="仿宋_GB2312" w:cs="仿宋_GB2312"/>
          <w:color w:val="auto"/>
          <w:kern w:val="2"/>
          <w:sz w:val="32"/>
          <w:szCs w:val="32"/>
          <w:highlight w:val="none"/>
          <w:lang w:val="en-US" w:eastAsia="zh-CN" w:bidi="ar-SA"/>
        </w:rPr>
      </w:pPr>
      <w:bookmarkStart w:id="113" w:name="OLE_LINK88"/>
      <w:r>
        <w:rPr>
          <w:rFonts w:hint="eastAsia" w:ascii="黑体" w:hAnsi="黑体" w:eastAsia="黑体" w:cs="黑体"/>
          <w:color w:val="auto"/>
          <w:sz w:val="30"/>
          <w:szCs w:val="30"/>
          <w:highlight w:val="none"/>
          <w:lang w:val="en-US" w:eastAsia="zh-CN"/>
        </w:rPr>
        <w:t xml:space="preserve">第二十七条  </w:t>
      </w:r>
      <w:r>
        <w:rPr>
          <w:rFonts w:hint="eastAsia" w:ascii="仿宋_GB2312" w:hAnsi="仿宋_GB2312" w:eastAsia="仿宋_GB2312" w:cs="仿宋_GB2312"/>
          <w:color w:val="auto"/>
          <w:kern w:val="2"/>
          <w:sz w:val="32"/>
          <w:szCs w:val="32"/>
          <w:highlight w:val="none"/>
          <w:lang w:val="en-US" w:eastAsia="zh-CN" w:bidi="ar-SA"/>
        </w:rPr>
        <w:t>学校工会要严格贯彻落实中央八项规定及其实施细则精神要求，规范和遵守工会经费使用管理各项规定，对监督检查中发现违反工会经费收支管理办法的问题，要及时纠正。违规问题情节较轻的，要限期整改；涉及违纪的，由纪检监察部门依照有关规定，追究直接责任人和相关领导责任；构成犯罪的，依法移交司法机关处理。</w:t>
      </w:r>
    </w:p>
    <w:p w14:paraId="13AEE096">
      <w:pPr>
        <w:keepNext w:val="0"/>
        <w:keepLines w:val="0"/>
        <w:pageBreakBefore w:val="0"/>
        <w:wordWrap/>
        <w:overflowPunct/>
        <w:topLinePunct w:val="0"/>
        <w:bidi w:val="0"/>
        <w:spacing w:line="576" w:lineRule="exact"/>
        <w:ind w:firstLine="640" w:firstLineChars="200"/>
        <w:jc w:val="both"/>
        <w:rPr>
          <w:rFonts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违反《工会法》及其他相关法律法规、本实施细则及茅台学院相关制度规定，侵占工会经费和财产拒不返还的，工会有权向人民法院提起诉讼，要求返还相关资产并赔偿因此造成的损失。教职工违反本实施细则相关规定的，工会有权按照《茅台学院教职工违规违纪违法行为处理办法（试行）》及学校相关制度规定进行处理。</w:t>
      </w:r>
      <w:bookmarkEnd w:id="113"/>
    </w:p>
    <w:p w14:paraId="2D3C940B">
      <w:pPr>
        <w:pStyle w:val="7"/>
        <w:keepNext w:val="0"/>
        <w:keepLines w:val="0"/>
        <w:pageBreakBefore w:val="0"/>
        <w:kinsoku/>
        <w:wordWrap/>
        <w:overflowPunct/>
        <w:topLinePunct w:val="0"/>
        <w:autoSpaceDE/>
        <w:autoSpaceDN/>
        <w:bidi w:val="0"/>
        <w:adjustRightInd/>
        <w:snapToGrid/>
        <w:spacing w:line="576" w:lineRule="exact"/>
        <w:ind w:firstLine="6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黑体" w:hAnsi="黑体" w:eastAsia="黑体" w:cs="黑体"/>
          <w:color w:val="auto"/>
          <w:sz w:val="30"/>
          <w:szCs w:val="30"/>
          <w:lang w:val="en-US" w:eastAsia="zh-CN"/>
        </w:rPr>
        <w:t xml:space="preserve">第二十八条  </w:t>
      </w:r>
      <w:r>
        <w:rPr>
          <w:rFonts w:hint="eastAsia" w:ascii="仿宋_GB2312" w:hAnsi="仿宋_GB2312" w:eastAsia="仿宋_GB2312" w:cs="仿宋_GB2312"/>
          <w:color w:val="auto"/>
          <w:kern w:val="2"/>
          <w:sz w:val="32"/>
          <w:szCs w:val="32"/>
          <w:lang w:val="en-US" w:eastAsia="zh-CN" w:bidi="ar-SA"/>
        </w:rPr>
        <w:t>学校工会必须严格执行国家财经纪律和工会财会制度。任何单位和个人不得先用钱后审批，不得随意改变项目支出内容和已核准的金额，不得改变资金用途，不得转移、截留、挪用项目资金。</w:t>
      </w:r>
    </w:p>
    <w:p w14:paraId="3BA9E2D3">
      <w:pPr>
        <w:pStyle w:val="7"/>
        <w:keepNext w:val="0"/>
        <w:keepLines w:val="0"/>
        <w:pageBreakBefore w:val="0"/>
        <w:kinsoku/>
        <w:wordWrap/>
        <w:overflowPunct/>
        <w:topLinePunct w:val="0"/>
        <w:autoSpaceDE/>
        <w:autoSpaceDN/>
        <w:bidi w:val="0"/>
        <w:adjustRightInd/>
        <w:snapToGrid/>
        <w:spacing w:line="576" w:lineRule="exact"/>
        <w:ind w:left="0" w:leftChars="0" w:firstLine="60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黑体" w:hAnsi="黑体" w:eastAsia="黑体" w:cs="黑体"/>
          <w:color w:val="auto"/>
          <w:sz w:val="30"/>
          <w:szCs w:val="30"/>
          <w:lang w:val="en-US" w:eastAsia="zh-CN"/>
        </w:rPr>
        <w:t xml:space="preserve">第二十九条  </w:t>
      </w:r>
      <w:r>
        <w:rPr>
          <w:rFonts w:hint="eastAsia" w:ascii="仿宋_GB2312" w:hAnsi="仿宋_GB2312" w:eastAsia="仿宋_GB2312" w:cs="仿宋_GB2312"/>
          <w:color w:val="auto"/>
          <w:kern w:val="2"/>
          <w:sz w:val="32"/>
          <w:szCs w:val="32"/>
          <w:lang w:val="en-US" w:eastAsia="zh-CN" w:bidi="ar-SA"/>
        </w:rPr>
        <w:t>工会经费开支，严格执行“八不准”原则。</w:t>
      </w:r>
    </w:p>
    <w:p w14:paraId="1DD1AF41">
      <w:pPr>
        <w:pStyle w:val="7"/>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（一）不准使用工会经费请客送礼；</w:t>
      </w:r>
    </w:p>
    <w:p w14:paraId="7B031739">
      <w:pPr>
        <w:pStyle w:val="7"/>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（二）不准违反工会经费使用规定，滥发奖金、津贴、补贴；</w:t>
      </w:r>
    </w:p>
    <w:p w14:paraId="6080D310">
      <w:pPr>
        <w:pStyle w:val="7"/>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（三）不准使用工会经费从事高消费性娱乐和健身活动；</w:t>
      </w:r>
    </w:p>
    <w:p w14:paraId="2D61C7AD">
      <w:pPr>
        <w:pStyle w:val="7"/>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（四）不准单位行政利用工会账户，违规设立“小金库”；</w:t>
      </w:r>
    </w:p>
    <w:p w14:paraId="152BA41C">
      <w:pPr>
        <w:pStyle w:val="7"/>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（五）不准将工会账户并入单位行政账户，使工会经费开支失去控制；</w:t>
      </w:r>
    </w:p>
    <w:p w14:paraId="108A40CC">
      <w:pPr>
        <w:pStyle w:val="7"/>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（六）不准截留、挪用工会经费；</w:t>
      </w:r>
    </w:p>
    <w:p w14:paraId="0130188C">
      <w:pPr>
        <w:pStyle w:val="7"/>
        <w:keepNext w:val="0"/>
        <w:keepLines w:val="0"/>
        <w:pageBreakBefore w:val="0"/>
        <w:widowControl w:val="0"/>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（七）不准用工会经费参与非法集资活动，或为非法集资活</w:t>
      </w:r>
    </w:p>
    <w:p w14:paraId="556C3ED2">
      <w:pPr>
        <w:pStyle w:val="7"/>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动提供经济担保；</w:t>
      </w:r>
    </w:p>
    <w:p w14:paraId="512F75B9">
      <w:pPr>
        <w:pStyle w:val="7"/>
        <w:keepNext w:val="0"/>
        <w:keepLines w:val="0"/>
        <w:pageBreakBefore w:val="0"/>
        <w:widowControl w:val="0"/>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（八）不准用工会经费报销与工会活动无关的费用。</w:t>
      </w:r>
    </w:p>
    <w:p w14:paraId="6BAA104F">
      <w:pPr>
        <w:pStyle w:val="7"/>
        <w:keepNext w:val="0"/>
        <w:keepLines w:val="0"/>
        <w:pageBreakBefore w:val="0"/>
        <w:widowControl w:val="0"/>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w w:val="99"/>
          <w:kern w:val="2"/>
          <w:sz w:val="32"/>
          <w:szCs w:val="32"/>
          <w:lang w:val="en-US" w:eastAsia="zh-CN" w:bidi="ar-SA"/>
        </w:rPr>
      </w:pPr>
      <w:bookmarkStart w:id="114" w:name="OLE_LINK106"/>
      <w:r>
        <w:rPr>
          <w:rFonts w:hint="eastAsia" w:ascii="黑体" w:hAnsi="黑体" w:eastAsia="黑体" w:cs="黑体"/>
          <w:b w:val="0"/>
          <w:bCs w:val="0"/>
          <w:color w:val="auto"/>
          <w:sz w:val="30"/>
          <w:szCs w:val="30"/>
          <w:lang w:val="en-US" w:eastAsia="zh-CN"/>
        </w:rPr>
        <w:t xml:space="preserve">第三十条  </w:t>
      </w:r>
      <w:r>
        <w:rPr>
          <w:rFonts w:hint="eastAsia" w:ascii="仿宋_GB2312" w:hAnsi="仿宋_GB2312" w:eastAsia="仿宋_GB2312" w:cs="仿宋_GB2312"/>
          <w:color w:val="auto"/>
          <w:sz w:val="32"/>
          <w:szCs w:val="32"/>
          <w:lang w:val="en-US" w:eastAsia="zh-CN"/>
        </w:rPr>
        <w:t>工会经费使用接受上级工会和同级工会经审委的审计与监督，</w:t>
      </w:r>
      <w:r>
        <w:rPr>
          <w:rFonts w:hint="eastAsia" w:ascii="仿宋_GB2312" w:hAnsi="仿宋_GB2312" w:eastAsia="仿宋_GB2312" w:cs="仿宋_GB2312"/>
          <w:color w:val="auto"/>
          <w:sz w:val="32"/>
          <w:szCs w:val="32"/>
          <w:highlight w:val="none"/>
          <w:lang w:val="en-US" w:eastAsia="zh-CN"/>
        </w:rPr>
        <w:t>并将工会</w:t>
      </w:r>
      <w:r>
        <w:rPr>
          <w:rFonts w:hint="eastAsia" w:ascii="仿宋_GB2312" w:hAnsi="仿宋_GB2312" w:eastAsia="仿宋_GB2312" w:cs="仿宋_GB2312"/>
          <w:color w:val="auto"/>
          <w:sz w:val="32"/>
          <w:szCs w:val="32"/>
          <w:lang w:val="en-US" w:eastAsia="zh-CN"/>
        </w:rPr>
        <w:t>经费的使用情况每年在工会全委会上进行报告，公开经费使用和审计情况。</w:t>
      </w:r>
    </w:p>
    <w:bookmarkEnd w:id="114"/>
    <w:p w14:paraId="4C7565F0">
      <w:pPr>
        <w:pStyle w:val="7"/>
        <w:keepNext w:val="0"/>
        <w:keepLines w:val="0"/>
        <w:pageBreakBefore w:val="0"/>
        <w:widowControl w:val="0"/>
        <w:kinsoku/>
        <w:wordWrap/>
        <w:overflowPunct/>
        <w:topLinePunct w:val="0"/>
        <w:autoSpaceDE/>
        <w:autoSpaceDN/>
        <w:bidi w:val="0"/>
        <w:adjustRightInd/>
        <w:snapToGrid/>
        <w:spacing w:line="576" w:lineRule="exact"/>
        <w:ind w:left="0" w:leftChars="0" w:firstLine="60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0"/>
          <w:szCs w:val="30"/>
          <w:lang w:val="en-US" w:eastAsia="zh-CN"/>
        </w:rPr>
        <w:t xml:space="preserve">第三十一条  </w:t>
      </w:r>
      <w:r>
        <w:rPr>
          <w:rFonts w:hint="eastAsia" w:ascii="仿宋_GB2312" w:hAnsi="仿宋_GB2312" w:eastAsia="仿宋_GB2312" w:cs="仿宋_GB2312"/>
          <w:color w:val="auto"/>
          <w:sz w:val="32"/>
          <w:szCs w:val="32"/>
          <w:lang w:val="en-US" w:eastAsia="zh-CN"/>
        </w:rPr>
        <w:t>工会应加强对工会经费使用情况的内部会计监督和工会预算执行情况的审查审计监督，依法接受并主动配合国家审计监督。内部会计监督主要对原始凭证的真实性及合法性、会计账簿与财务报告的准确性及及时性、财产物资的安全性及完整性进行监督，以维护财经纪律的严肃性。审查审计监督主要对工会财务收支情况和预算执行情况进行审查监督，经费收支预（决）算编制和预算执行情况应接受同级工会经费审查委员会审查审计监督，同时接受上级工会和上级工会经费审查委员会的审计监督，并依法接受国家审计监督。</w:t>
      </w:r>
    </w:p>
    <w:p w14:paraId="43064D87">
      <w:pPr>
        <w:pStyle w:val="7"/>
        <w:keepNext w:val="0"/>
        <w:keepLines w:val="0"/>
        <w:pageBreakBefore w:val="0"/>
        <w:widowControl w:val="0"/>
        <w:kinsoku/>
        <w:wordWrap/>
        <w:overflowPunct/>
        <w:topLinePunct w:val="0"/>
        <w:autoSpaceDE/>
        <w:autoSpaceDN/>
        <w:bidi w:val="0"/>
        <w:adjustRightInd/>
        <w:snapToGrid/>
        <w:spacing w:line="576" w:lineRule="exact"/>
        <w:ind w:left="0" w:leftChars="0" w:firstLine="601" w:firstLineChars="0"/>
        <w:jc w:val="both"/>
        <w:textAlignment w:val="auto"/>
        <w:rPr>
          <w:rFonts w:hint="default" w:ascii="仿宋_GB2312" w:hAnsi="仿宋_GB2312" w:eastAsia="仿宋_GB2312" w:cs="仿宋_GB2312"/>
          <w:color w:val="auto"/>
          <w:sz w:val="32"/>
          <w:szCs w:val="32"/>
          <w:lang w:val="en-US" w:eastAsia="zh-CN"/>
        </w:rPr>
      </w:pPr>
      <w:r>
        <w:rPr>
          <w:rFonts w:hint="eastAsia" w:ascii="黑体" w:hAnsi="黑体" w:eastAsia="黑体" w:cs="黑体"/>
          <w:color w:val="auto"/>
          <w:sz w:val="30"/>
          <w:szCs w:val="30"/>
          <w:lang w:val="en-US" w:eastAsia="zh-CN"/>
        </w:rPr>
        <w:t xml:space="preserve">第三十二条  </w:t>
      </w:r>
      <w:r>
        <w:rPr>
          <w:rFonts w:hint="eastAsia" w:ascii="仿宋_GB2312" w:hAnsi="仿宋_GB2312" w:eastAsia="仿宋_GB2312" w:cs="仿宋_GB2312"/>
          <w:color w:val="auto"/>
          <w:sz w:val="32"/>
          <w:szCs w:val="32"/>
          <w:lang w:val="en-US" w:eastAsia="zh-CN"/>
        </w:rPr>
        <w:t>本实施细则规定的标准为上限标准，如若集团公司工会文件与本细则有冲突的地方，则以集团公司工会文件为准参照执行。</w:t>
      </w:r>
    </w:p>
    <w:p w14:paraId="4FBE0EBB">
      <w:pPr>
        <w:keepNext w:val="0"/>
        <w:keepLines w:val="0"/>
        <w:pageBreakBefore w:val="0"/>
        <w:kinsoku/>
        <w:wordWrap/>
        <w:overflowPunct/>
        <w:topLinePunct w:val="0"/>
        <w:autoSpaceDE/>
        <w:autoSpaceDN/>
        <w:bidi w:val="0"/>
        <w:adjustRightInd/>
        <w:snapToGrid/>
        <w:spacing w:line="576" w:lineRule="exact"/>
        <w:ind w:left="0" w:leftChars="0" w:firstLine="601" w:firstLineChars="0"/>
        <w:jc w:val="center"/>
        <w:rPr>
          <w:rFonts w:hint="eastAsia" w:ascii="方正小标宋简体" w:hAnsi="方正小标宋简体" w:eastAsia="方正小标宋简体" w:cs="方正小标宋简体"/>
          <w:b w:val="0"/>
          <w:bCs/>
          <w:color w:val="auto"/>
          <w:sz w:val="32"/>
          <w:szCs w:val="32"/>
          <w:lang w:val="en-US" w:eastAsia="zh-CN"/>
        </w:rPr>
      </w:pPr>
      <w:r>
        <w:rPr>
          <w:rFonts w:hint="eastAsia" w:ascii="方正小标宋简体" w:hAnsi="方正小标宋简体" w:eastAsia="方正小标宋简体" w:cs="方正小标宋简体"/>
          <w:b w:val="0"/>
          <w:bCs/>
          <w:color w:val="auto"/>
          <w:sz w:val="32"/>
          <w:szCs w:val="32"/>
          <w:lang w:val="en-US" w:eastAsia="zh-CN"/>
        </w:rPr>
        <w:t>第六章  附  则</w:t>
      </w:r>
    </w:p>
    <w:p w14:paraId="0BDFE903">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rPr>
          <w:rFonts w:hint="default" w:ascii="仿宋_GB2312" w:hAnsi="仿宋_GB2312" w:eastAsia="仿宋_GB2312" w:cs="仿宋_GB2312"/>
          <w:color w:val="auto"/>
          <w:sz w:val="32"/>
          <w:szCs w:val="32"/>
          <w:lang w:val="en-US" w:eastAsia="zh-CN"/>
        </w:rPr>
      </w:pPr>
      <w:bookmarkStart w:id="115" w:name="OLE_LINK46"/>
      <w:r>
        <w:rPr>
          <w:rFonts w:hint="eastAsia" w:ascii="黑体" w:hAnsi="黑体" w:eastAsia="黑体" w:cs="黑体"/>
          <w:color w:val="auto"/>
          <w:sz w:val="30"/>
          <w:szCs w:val="30"/>
          <w:lang w:val="en-US" w:eastAsia="zh-CN"/>
        </w:rPr>
        <w:t>第三十三条</w:t>
      </w:r>
      <w:bookmarkEnd w:id="115"/>
      <w:r>
        <w:rPr>
          <w:rFonts w:hint="eastAsia" w:ascii="黑体" w:hAnsi="黑体" w:eastAsia="黑体" w:cs="黑体"/>
          <w:color w:val="auto"/>
          <w:sz w:val="30"/>
          <w:szCs w:val="30"/>
          <w:lang w:val="en-US" w:eastAsia="zh-CN"/>
        </w:rPr>
        <w:t xml:space="preserve">  </w:t>
      </w:r>
      <w:r>
        <w:rPr>
          <w:rFonts w:hint="eastAsia" w:ascii="仿宋_GB2312" w:hAnsi="仿宋_GB2312" w:eastAsia="仿宋_GB2312" w:cs="仿宋_GB2312"/>
          <w:color w:val="auto"/>
          <w:sz w:val="32"/>
          <w:szCs w:val="32"/>
          <w:highlight w:val="none"/>
          <w:lang w:val="en-US" w:eastAsia="zh-CN"/>
        </w:rPr>
        <w:t>本细则所指的“以上”含本数，“以下”不含本数</w:t>
      </w:r>
      <w:r>
        <w:rPr>
          <w:rFonts w:hint="eastAsia" w:ascii="仿宋_GB2312" w:hAnsi="仿宋_GB2312" w:eastAsia="仿宋_GB2312" w:cs="仿宋_GB2312"/>
          <w:color w:val="auto"/>
          <w:sz w:val="32"/>
          <w:szCs w:val="32"/>
          <w:lang w:val="en-US" w:eastAsia="zh-CN"/>
        </w:rPr>
        <w:t>。</w:t>
      </w:r>
    </w:p>
    <w:p w14:paraId="370062E6">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0"/>
          <w:szCs w:val="30"/>
          <w:lang w:val="en-US" w:eastAsia="zh-CN"/>
        </w:rPr>
        <w:t xml:space="preserve">第三十四条  </w:t>
      </w:r>
      <w:r>
        <w:rPr>
          <w:rFonts w:hint="eastAsia" w:ascii="仿宋_GB2312" w:hAnsi="仿宋_GB2312" w:eastAsia="仿宋_GB2312" w:cs="仿宋_GB2312"/>
          <w:color w:val="auto"/>
          <w:sz w:val="32"/>
          <w:szCs w:val="32"/>
          <w:lang w:val="en-US" w:eastAsia="zh-CN"/>
        </w:rPr>
        <w:t>本细则由学校工会负责解释工作。</w:t>
      </w:r>
    </w:p>
    <w:p w14:paraId="727FD2E5">
      <w:pPr>
        <w:ind w:firstLine="600" w:firstLineChars="200"/>
        <w:jc w:val="left"/>
        <w:rPr>
          <w:rFonts w:hint="eastAsia" w:ascii="仿宋_GB2312" w:hAnsi="仿宋_GB2312" w:eastAsia="仿宋_GB2312" w:cs="仿宋_GB2312"/>
          <w:color w:val="auto"/>
          <w:kern w:val="2"/>
          <w:sz w:val="32"/>
          <w:szCs w:val="32"/>
          <w:lang w:val="en-US" w:eastAsia="zh-CN" w:bidi="ar-SA"/>
        </w:rPr>
      </w:pPr>
      <w:r>
        <w:rPr>
          <w:rFonts w:hint="eastAsia" w:ascii="黑体" w:hAnsi="黑体" w:eastAsia="黑体" w:cs="黑体"/>
          <w:color w:val="auto"/>
          <w:kern w:val="2"/>
          <w:sz w:val="30"/>
          <w:szCs w:val="30"/>
          <w:lang w:val="en-US" w:eastAsia="zh-CN" w:bidi="ar-SA"/>
        </w:rPr>
        <w:t xml:space="preserve">第三十五条 </w:t>
      </w:r>
      <w:r>
        <w:rPr>
          <w:rFonts w:hint="eastAsia" w:ascii="仿宋_GB2312" w:hAnsi="仿宋_GB2312" w:eastAsia="仿宋_GB2312" w:cs="仿宋_GB2312"/>
          <w:color w:val="auto"/>
          <w:kern w:val="2"/>
          <w:sz w:val="32"/>
          <w:szCs w:val="32"/>
          <w:lang w:val="en-US" w:eastAsia="zh-CN" w:bidi="ar-SA"/>
        </w:rPr>
        <w:t xml:space="preserve"> 本细则自2026年2月8日起执行。《茅台学院工会经费收支管理实施细则》（茅院工发〔2025〕1号）同时废止。</w:t>
      </w:r>
    </w:p>
    <w:p w14:paraId="1DCB06C0">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FF0000"/>
          <w:sz w:val="32"/>
          <w:szCs w:val="32"/>
          <w:lang w:val="en-US" w:eastAsia="zh-CN"/>
        </w:rPr>
      </w:pPr>
    </w:p>
    <w:p w14:paraId="47BF7117">
      <w:pPr>
        <w:pStyle w:val="7"/>
        <w:keepNext w:val="0"/>
        <w:keepLines w:val="0"/>
        <w:pageBreakBefore w:val="0"/>
        <w:kinsoku/>
        <w:wordWrap/>
        <w:overflowPunct/>
        <w:topLinePunct w:val="0"/>
        <w:autoSpaceDE/>
        <w:autoSpaceDN/>
        <w:bidi w:val="0"/>
        <w:adjustRightInd/>
        <w:snapToGrid/>
        <w:spacing w:line="576" w:lineRule="exact"/>
        <w:ind w:left="0" w:leftChars="0" w:firstLine="601" w:firstLineChars="0"/>
        <w:jc w:val="both"/>
        <w:textAlignment w:val="auto"/>
        <w:rPr>
          <w:rFonts w:hint="eastAsia" w:ascii="仿宋_GB2312" w:hAnsi="仿宋_GB2312" w:eastAsia="仿宋_GB2312" w:cs="仿宋_GB2312"/>
          <w:color w:val="FF0000"/>
          <w:sz w:val="32"/>
          <w:szCs w:val="32"/>
          <w:lang w:val="en-US" w:eastAsia="zh-CN"/>
        </w:rPr>
      </w:pPr>
    </w:p>
    <w:p w14:paraId="119C8947">
      <w:pPr>
        <w:pStyle w:val="7"/>
        <w:keepNext w:val="0"/>
        <w:keepLines w:val="0"/>
        <w:pageBreakBefore w:val="0"/>
        <w:kinsoku/>
        <w:wordWrap/>
        <w:overflowPunct/>
        <w:topLinePunct w:val="0"/>
        <w:autoSpaceDE/>
        <w:autoSpaceDN/>
        <w:bidi w:val="0"/>
        <w:adjustRightInd/>
        <w:snapToGrid/>
        <w:spacing w:line="620" w:lineRule="exact"/>
        <w:ind w:left="1598" w:leftChars="304" w:hanging="960" w:hangingChars="300"/>
        <w:textAlignment w:val="auto"/>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附件：《茅台学院工会委员会会员服务卡管理细则》</w:t>
      </w:r>
    </w:p>
    <w:p w14:paraId="0D74049A">
      <w:pPr>
        <w:pStyle w:val="7"/>
        <w:keepNext w:val="0"/>
        <w:keepLines w:val="0"/>
        <w:pageBreakBefore w:val="0"/>
        <w:kinsoku/>
        <w:wordWrap/>
        <w:overflowPunct/>
        <w:topLinePunct w:val="0"/>
        <w:autoSpaceDE/>
        <w:autoSpaceDN/>
        <w:bidi w:val="0"/>
        <w:adjustRightInd/>
        <w:snapToGrid/>
        <w:spacing w:line="620" w:lineRule="exact"/>
        <w:ind w:left="0" w:leftChars="0" w:firstLine="0" w:firstLineChars="0"/>
        <w:textAlignment w:val="auto"/>
        <w:rPr>
          <w:rFonts w:hint="eastAsia" w:ascii="仿宋_GB2312" w:hAnsi="仿宋_GB2312" w:eastAsia="仿宋_GB2312" w:cs="仿宋_GB2312"/>
          <w:color w:val="FF0000"/>
          <w:sz w:val="32"/>
          <w:szCs w:val="32"/>
          <w:lang w:val="en-US" w:eastAsia="zh-CN"/>
        </w:rPr>
      </w:pPr>
    </w:p>
    <w:p w14:paraId="672FDA8C">
      <w:pPr>
        <w:pStyle w:val="7"/>
        <w:keepNext w:val="0"/>
        <w:keepLines w:val="0"/>
        <w:pageBreakBefore w:val="0"/>
        <w:kinsoku/>
        <w:wordWrap/>
        <w:overflowPunct/>
        <w:topLinePunct w:val="0"/>
        <w:autoSpaceDE/>
        <w:autoSpaceDN/>
        <w:bidi w:val="0"/>
        <w:adjustRightInd/>
        <w:snapToGrid/>
        <w:spacing w:line="620" w:lineRule="exact"/>
        <w:ind w:left="1598" w:leftChars="304" w:hanging="960" w:hangingChars="300"/>
        <w:textAlignment w:val="auto"/>
        <w:rPr>
          <w:rFonts w:hint="eastAsia" w:ascii="仿宋_GB2312" w:hAnsi="仿宋_GB2312" w:eastAsia="仿宋_GB2312" w:cs="仿宋_GB2312"/>
          <w:color w:val="FF0000"/>
          <w:sz w:val="32"/>
          <w:szCs w:val="32"/>
          <w:lang w:val="en-US" w:eastAsia="zh-CN"/>
        </w:rPr>
      </w:pPr>
    </w:p>
    <w:p w14:paraId="0B21CF9C">
      <w:pPr>
        <w:keepNext w:val="0"/>
        <w:keepLines w:val="0"/>
        <w:pageBreakBefore w:val="0"/>
        <w:widowControl w:val="0"/>
        <w:kinsoku/>
        <w:wordWrap w:val="0"/>
        <w:overflowPunct/>
        <w:topLinePunct/>
        <w:autoSpaceDE/>
        <w:autoSpaceDN/>
        <w:bidi w:val="0"/>
        <w:adjustRightInd/>
        <w:snapToGrid/>
        <w:spacing w:line="620" w:lineRule="exact"/>
        <w:jc w:val="center"/>
        <w:textAlignment w:val="auto"/>
        <w:rPr>
          <w:rFonts w:hint="eastAsia" w:ascii="方正小标宋简体" w:hAnsi="方正小标宋简体" w:eastAsia="方正小标宋简体" w:cs="方正小标宋简体"/>
          <w:snapToGrid w:val="0"/>
          <w:color w:val="000000"/>
          <w:kern w:val="0"/>
          <w:sz w:val="44"/>
          <w:szCs w:val="44"/>
          <w:highlight w:val="none"/>
          <w:lang w:val="en-US" w:eastAsia="zh-CN"/>
        </w:rPr>
      </w:pPr>
    </w:p>
    <w:p w14:paraId="398492CE">
      <w:pPr>
        <w:keepNext w:val="0"/>
        <w:keepLines w:val="0"/>
        <w:pageBreakBefore w:val="0"/>
        <w:widowControl w:val="0"/>
        <w:kinsoku/>
        <w:wordWrap w:val="0"/>
        <w:overflowPunct/>
        <w:topLinePunct/>
        <w:autoSpaceDE/>
        <w:autoSpaceDN/>
        <w:bidi w:val="0"/>
        <w:adjustRightInd/>
        <w:snapToGrid/>
        <w:spacing w:line="620" w:lineRule="exact"/>
        <w:jc w:val="both"/>
        <w:textAlignment w:val="auto"/>
        <w:rPr>
          <w:rFonts w:hint="eastAsia" w:ascii="方正小标宋简体" w:hAnsi="方正小标宋简体" w:eastAsia="方正小标宋简体" w:cs="方正小标宋简体"/>
          <w:snapToGrid w:val="0"/>
          <w:color w:val="000000"/>
          <w:kern w:val="0"/>
          <w:sz w:val="44"/>
          <w:szCs w:val="44"/>
          <w:highlight w:val="none"/>
          <w:lang w:val="en-US" w:eastAsia="zh-CN"/>
        </w:rPr>
      </w:pPr>
    </w:p>
    <w:p w14:paraId="2278C742">
      <w:pPr>
        <w:keepNext w:val="0"/>
        <w:keepLines w:val="0"/>
        <w:pageBreakBefore w:val="0"/>
        <w:widowControl w:val="0"/>
        <w:kinsoku/>
        <w:wordWrap w:val="0"/>
        <w:overflowPunct/>
        <w:topLinePunct/>
        <w:autoSpaceDE/>
        <w:autoSpaceDN/>
        <w:bidi w:val="0"/>
        <w:adjustRightInd/>
        <w:snapToGrid/>
        <w:spacing w:line="620" w:lineRule="exact"/>
        <w:jc w:val="both"/>
        <w:textAlignment w:val="auto"/>
        <w:rPr>
          <w:rFonts w:hint="eastAsia" w:ascii="方正小标宋简体" w:hAnsi="方正小标宋简体" w:eastAsia="方正小标宋简体" w:cs="方正小标宋简体"/>
          <w:snapToGrid w:val="0"/>
          <w:color w:val="000000"/>
          <w:kern w:val="0"/>
          <w:sz w:val="44"/>
          <w:szCs w:val="44"/>
          <w:highlight w:val="none"/>
          <w:lang w:val="en-US" w:eastAsia="zh-CN"/>
        </w:rPr>
      </w:pPr>
    </w:p>
    <w:p w14:paraId="57F0B388">
      <w:pPr>
        <w:keepNext w:val="0"/>
        <w:keepLines w:val="0"/>
        <w:pageBreakBefore w:val="0"/>
        <w:widowControl w:val="0"/>
        <w:kinsoku/>
        <w:wordWrap w:val="0"/>
        <w:overflowPunct/>
        <w:topLinePunct/>
        <w:autoSpaceDE/>
        <w:autoSpaceDN/>
        <w:bidi w:val="0"/>
        <w:adjustRightInd/>
        <w:snapToGrid/>
        <w:spacing w:line="620" w:lineRule="exact"/>
        <w:jc w:val="both"/>
        <w:textAlignment w:val="auto"/>
        <w:rPr>
          <w:rFonts w:hint="eastAsia" w:ascii="方正小标宋简体" w:hAnsi="方正小标宋简体" w:eastAsia="方正小标宋简体" w:cs="方正小标宋简体"/>
          <w:snapToGrid w:val="0"/>
          <w:color w:val="000000"/>
          <w:kern w:val="0"/>
          <w:sz w:val="44"/>
          <w:szCs w:val="44"/>
          <w:highlight w:val="none"/>
          <w:lang w:val="en-US" w:eastAsia="zh-CN"/>
        </w:rPr>
      </w:pPr>
    </w:p>
    <w:p w14:paraId="4C90E7EB">
      <w:pPr>
        <w:keepNext w:val="0"/>
        <w:keepLines w:val="0"/>
        <w:pageBreakBefore w:val="0"/>
        <w:widowControl w:val="0"/>
        <w:kinsoku/>
        <w:wordWrap w:val="0"/>
        <w:overflowPunct/>
        <w:topLinePunct/>
        <w:autoSpaceDE/>
        <w:autoSpaceDN/>
        <w:bidi w:val="0"/>
        <w:adjustRightInd/>
        <w:snapToGrid/>
        <w:spacing w:line="620" w:lineRule="exact"/>
        <w:jc w:val="center"/>
        <w:textAlignment w:val="auto"/>
        <w:rPr>
          <w:rFonts w:hint="eastAsia" w:ascii="方正小标宋简体" w:hAnsi="方正小标宋简体" w:eastAsia="方正小标宋简体" w:cs="方正小标宋简体"/>
          <w:snapToGrid w:val="0"/>
          <w:color w:val="000000"/>
          <w:kern w:val="0"/>
          <w:sz w:val="44"/>
          <w:szCs w:val="44"/>
          <w:highlight w:val="none"/>
          <w:lang w:eastAsia="zh-CN"/>
        </w:rPr>
      </w:pPr>
      <w:r>
        <w:rPr>
          <w:rFonts w:hint="eastAsia" w:ascii="方正小标宋简体" w:hAnsi="方正小标宋简体" w:eastAsia="方正小标宋简体" w:cs="方正小标宋简体"/>
          <w:snapToGrid w:val="0"/>
          <w:color w:val="000000"/>
          <w:kern w:val="0"/>
          <w:sz w:val="44"/>
          <w:szCs w:val="44"/>
          <w:highlight w:val="none"/>
          <w:lang w:val="en-US" w:eastAsia="zh-CN"/>
        </w:rPr>
        <w:t>茅台学院工会委员会</w:t>
      </w:r>
      <w:r>
        <w:rPr>
          <w:rFonts w:hint="eastAsia" w:ascii="方正小标宋简体" w:hAnsi="方正小标宋简体" w:eastAsia="方正小标宋简体" w:cs="方正小标宋简体"/>
          <w:snapToGrid w:val="0"/>
          <w:color w:val="000000"/>
          <w:kern w:val="0"/>
          <w:sz w:val="44"/>
          <w:szCs w:val="44"/>
          <w:highlight w:val="none"/>
          <w:lang w:eastAsia="zh-CN"/>
        </w:rPr>
        <w:t>会员服务卡</w:t>
      </w:r>
    </w:p>
    <w:p w14:paraId="5E0350A5">
      <w:pPr>
        <w:keepNext w:val="0"/>
        <w:keepLines w:val="0"/>
        <w:pageBreakBefore w:val="0"/>
        <w:widowControl w:val="0"/>
        <w:kinsoku/>
        <w:wordWrap w:val="0"/>
        <w:overflowPunct/>
        <w:topLinePunct/>
        <w:autoSpaceDE/>
        <w:autoSpaceDN/>
        <w:bidi w:val="0"/>
        <w:adjustRightInd/>
        <w:snapToGrid/>
        <w:spacing w:line="620" w:lineRule="exact"/>
        <w:jc w:val="center"/>
        <w:textAlignment w:val="auto"/>
        <w:rPr>
          <w:rFonts w:hint="eastAsia" w:ascii="方正小标宋简体" w:hAnsi="方正小标宋简体" w:eastAsia="方正小标宋简体" w:cs="方正小标宋简体"/>
          <w:snapToGrid w:val="0"/>
          <w:color w:val="000000"/>
          <w:kern w:val="0"/>
          <w:sz w:val="44"/>
          <w:szCs w:val="44"/>
          <w:highlight w:val="none"/>
          <w:lang w:eastAsia="en-US"/>
        </w:rPr>
      </w:pPr>
      <w:r>
        <w:rPr>
          <w:rFonts w:hint="eastAsia" w:ascii="方正小标宋简体" w:hAnsi="方正小标宋简体" w:eastAsia="方正小标宋简体" w:cs="方正小标宋简体"/>
          <w:snapToGrid w:val="0"/>
          <w:color w:val="000000"/>
          <w:kern w:val="0"/>
          <w:sz w:val="44"/>
          <w:szCs w:val="44"/>
          <w:highlight w:val="none"/>
          <w:lang w:val="en-US" w:eastAsia="zh-CN"/>
        </w:rPr>
        <w:t>管理细则</w:t>
      </w:r>
    </w:p>
    <w:p w14:paraId="7C08BF77">
      <w:pPr>
        <w:keepNext w:val="0"/>
        <w:keepLines w:val="0"/>
        <w:pageBreakBefore w:val="0"/>
        <w:widowControl w:val="0"/>
        <w:kinsoku/>
        <w:wordWrap w:val="0"/>
        <w:overflowPunct/>
        <w:topLinePunct/>
        <w:autoSpaceDE/>
        <w:autoSpaceDN/>
        <w:bidi w:val="0"/>
        <w:adjustRightInd/>
        <w:snapToGrid/>
        <w:spacing w:line="62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eastAsia="en-US"/>
        </w:rPr>
        <w:t xml:space="preserve"> </w:t>
      </w:r>
    </w:p>
    <w:p w14:paraId="547950C3">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楷体_GB2312" w:hAnsi="楷体_GB2312" w:eastAsia="楷体_GB2312" w:cs="楷体_GB2312"/>
          <w:snapToGrid w:val="0"/>
          <w:color w:val="000000"/>
          <w:kern w:val="0"/>
          <w:sz w:val="32"/>
          <w:szCs w:val="32"/>
          <w:highlight w:val="none"/>
          <w:lang w:eastAsia="en-US"/>
        </w:rPr>
      </w:pPr>
      <w:r>
        <w:rPr>
          <w:rFonts w:hint="eastAsia" w:ascii="楷体_GB2312" w:hAnsi="楷体_GB2312" w:eastAsia="楷体_GB2312" w:cs="楷体_GB2312"/>
          <w:snapToGrid w:val="0"/>
          <w:color w:val="000000"/>
          <w:kern w:val="0"/>
          <w:sz w:val="32"/>
          <w:szCs w:val="32"/>
          <w:highlight w:val="none"/>
          <w:lang w:eastAsia="en-US"/>
        </w:rPr>
        <w:t>第</w:t>
      </w:r>
      <w:r>
        <w:rPr>
          <w:rFonts w:hint="eastAsia" w:ascii="楷体_GB2312" w:hAnsi="楷体_GB2312" w:eastAsia="楷体_GB2312" w:cs="楷体_GB2312"/>
          <w:snapToGrid w:val="0"/>
          <w:color w:val="000000"/>
          <w:kern w:val="0"/>
          <w:sz w:val="32"/>
          <w:szCs w:val="32"/>
          <w:highlight w:val="none"/>
          <w:lang w:val="en-US" w:eastAsia="zh-CN"/>
        </w:rPr>
        <w:t>一</w:t>
      </w:r>
      <w:r>
        <w:rPr>
          <w:rFonts w:hint="eastAsia" w:ascii="楷体_GB2312" w:hAnsi="楷体_GB2312" w:eastAsia="楷体_GB2312" w:cs="楷体_GB2312"/>
          <w:snapToGrid w:val="0"/>
          <w:color w:val="000000"/>
          <w:kern w:val="0"/>
          <w:sz w:val="32"/>
          <w:szCs w:val="32"/>
          <w:highlight w:val="none"/>
          <w:lang w:eastAsia="en-US"/>
        </w:rPr>
        <w:t>条 目的与适用范围</w:t>
      </w:r>
    </w:p>
    <w:p w14:paraId="016E5FF8">
      <w:pPr>
        <w:keepNext w:val="0"/>
        <w:keepLines w:val="0"/>
        <w:pageBreakBefore w:val="0"/>
        <w:widowControl w:val="0"/>
        <w:kinsoku/>
        <w:wordWrap/>
        <w:overflowPunct/>
        <w:topLinePunct w:val="0"/>
        <w:autoSpaceDE/>
        <w:autoSpaceDN/>
        <w:bidi w:val="0"/>
        <w:adjustRightInd/>
        <w:snapToGrid/>
        <w:spacing w:line="600" w:lineRule="exact"/>
        <w:ind w:left="0" w:leftChars="0" w:firstLine="601" w:firstLineChars="0"/>
        <w:jc w:val="left"/>
        <w:textAlignment w:val="auto"/>
        <w:rPr>
          <w:rFonts w:hint="eastAsia" w:ascii="黑体" w:hAnsi="黑体" w:eastAsia="黑体" w:cs="黑体"/>
          <w:b w:val="0"/>
          <w:bCs/>
          <w:snapToGrid w:val="0"/>
          <w:color w:val="000000"/>
          <w:kern w:val="0"/>
          <w:sz w:val="30"/>
          <w:szCs w:val="30"/>
          <w:highlight w:val="none"/>
          <w:lang w:val="en-US" w:eastAsia="zh-CN" w:bidi="ar-SA"/>
        </w:rPr>
      </w:pPr>
      <w:r>
        <w:rPr>
          <w:rFonts w:hint="eastAsia" w:ascii="仿宋_GB2312" w:hAnsi="仿宋_GB2312" w:eastAsia="仿宋_GB2312" w:cs="仿宋_GB2312"/>
          <w:snapToGrid w:val="0"/>
          <w:color w:val="000000"/>
          <w:kern w:val="0"/>
          <w:sz w:val="32"/>
          <w:szCs w:val="32"/>
          <w:highlight w:val="none"/>
          <w:lang w:val="en-US" w:eastAsia="en-US" w:bidi="ar-SA"/>
        </w:rPr>
        <w:t>本制度旨在通过</w:t>
      </w:r>
      <w:r>
        <w:rPr>
          <w:rFonts w:hint="eastAsia" w:ascii="仿宋_GB2312" w:hAnsi="仿宋_GB2312" w:eastAsia="仿宋_GB2312" w:cs="仿宋_GB2312"/>
          <w:snapToGrid w:val="0"/>
          <w:color w:val="000000"/>
          <w:kern w:val="0"/>
          <w:sz w:val="32"/>
          <w:szCs w:val="32"/>
          <w:highlight w:val="none"/>
          <w:lang w:val="en-US" w:eastAsia="zh-CN" w:bidi="ar-SA"/>
        </w:rPr>
        <w:t>工会会员服务卡</w:t>
      </w:r>
      <w:r>
        <w:rPr>
          <w:rFonts w:hint="eastAsia" w:ascii="仿宋_GB2312" w:hAnsi="仿宋_GB2312" w:eastAsia="仿宋_GB2312" w:cs="仿宋_GB2312"/>
          <w:snapToGrid w:val="0"/>
          <w:color w:val="000000"/>
          <w:kern w:val="0"/>
          <w:sz w:val="32"/>
          <w:szCs w:val="32"/>
          <w:highlight w:val="none"/>
          <w:lang w:val="en-US" w:eastAsia="en-US" w:bidi="ar-SA"/>
        </w:rPr>
        <w:t>为会员提供便捷、规范的节日、生日慰问服务。</w:t>
      </w:r>
      <w:r>
        <w:rPr>
          <w:rFonts w:hint="eastAsia" w:ascii="黑体" w:hAnsi="黑体" w:eastAsia="黑体" w:cs="黑体"/>
          <w:b w:val="0"/>
          <w:bCs/>
          <w:snapToGrid w:val="0"/>
          <w:color w:val="000000"/>
          <w:kern w:val="0"/>
          <w:sz w:val="30"/>
          <w:szCs w:val="30"/>
          <w:highlight w:val="none"/>
          <w:lang w:val="en-US" w:eastAsia="zh-CN" w:bidi="ar-SA"/>
        </w:rPr>
        <w:t xml:space="preserve"> </w:t>
      </w:r>
    </w:p>
    <w:p w14:paraId="0A2383BC">
      <w:pPr>
        <w:keepNext w:val="0"/>
        <w:keepLines w:val="0"/>
        <w:pageBreakBefore w:val="0"/>
        <w:widowControl w:val="0"/>
        <w:kinsoku/>
        <w:wordWrap/>
        <w:overflowPunct/>
        <w:topLinePunct w:val="0"/>
        <w:autoSpaceDE/>
        <w:autoSpaceDN/>
        <w:bidi w:val="0"/>
        <w:adjustRightInd/>
        <w:snapToGrid/>
        <w:spacing w:line="600" w:lineRule="exact"/>
        <w:ind w:left="0" w:leftChars="0" w:firstLine="601" w:firstLineChars="0"/>
        <w:jc w:val="left"/>
        <w:textAlignment w:val="auto"/>
        <w:rPr>
          <w:rFonts w:hint="eastAsia" w:ascii="仿宋_GB2312" w:hAnsi="仿宋_GB2312" w:eastAsia="仿宋_GB2312" w:cs="仿宋_GB2312"/>
          <w:snapToGrid w:val="0"/>
          <w:color w:val="000000" w:themeColor="text1"/>
          <w:kern w:val="0"/>
          <w:sz w:val="32"/>
          <w:szCs w:val="32"/>
          <w:highlight w:val="none"/>
          <w:lang w:val="en-US" w:eastAsia="zh-CN" w:bidi="ar-SA"/>
          <w14:textFill>
            <w14:solidFill>
              <w14:schemeClr w14:val="tx1"/>
            </w14:solidFill>
          </w14:textFill>
        </w:rPr>
      </w:pPr>
      <w:r>
        <w:rPr>
          <w:rFonts w:hint="eastAsia" w:ascii="仿宋_GB2312" w:hAnsi="仿宋_GB2312" w:eastAsia="仿宋_GB2312" w:cs="仿宋_GB2312"/>
          <w:snapToGrid w:val="0"/>
          <w:color w:val="000000" w:themeColor="text1"/>
          <w:kern w:val="0"/>
          <w:sz w:val="32"/>
          <w:szCs w:val="32"/>
          <w:highlight w:val="none"/>
          <w:lang w:val="en-US" w:eastAsia="en-US" w:bidi="ar-SA"/>
          <w14:textFill>
            <w14:solidFill>
              <w14:schemeClr w14:val="tx1"/>
            </w14:solidFill>
          </w14:textFill>
        </w:rPr>
        <w:t>本细则所称的“工会会员服务卡”，特指《茅台学院工会经费收支管理实施细则》中载明的“工会会员普惠卡”</w:t>
      </w:r>
      <w:r>
        <w:rPr>
          <w:rFonts w:hint="eastAsia" w:ascii="仿宋_GB2312" w:hAnsi="仿宋_GB2312" w:eastAsia="仿宋_GB2312" w:cs="仿宋_GB2312"/>
          <w:snapToGrid w:val="0"/>
          <w:color w:val="000000" w:themeColor="text1"/>
          <w:kern w:val="0"/>
          <w:sz w:val="32"/>
          <w:szCs w:val="32"/>
          <w:highlight w:val="none"/>
          <w:lang w:val="en-US" w:eastAsia="zh-CN" w:bidi="ar-SA"/>
          <w14:textFill>
            <w14:solidFill>
              <w14:schemeClr w14:val="tx1"/>
            </w14:solidFill>
          </w14:textFill>
        </w:rPr>
        <w:t>。</w:t>
      </w:r>
    </w:p>
    <w:p w14:paraId="5136B387">
      <w:pPr>
        <w:keepNext w:val="0"/>
        <w:keepLines w:val="0"/>
        <w:pageBreakBefore w:val="0"/>
        <w:widowControl w:val="0"/>
        <w:kinsoku/>
        <w:wordWrap/>
        <w:overflowPunct/>
        <w:topLinePunct w:val="0"/>
        <w:autoSpaceDE/>
        <w:autoSpaceDN/>
        <w:bidi w:val="0"/>
        <w:adjustRightInd/>
        <w:snapToGrid/>
        <w:spacing w:line="600" w:lineRule="exact"/>
        <w:ind w:left="0" w:leftChars="0" w:firstLine="601" w:firstLineChars="0"/>
        <w:jc w:val="left"/>
        <w:textAlignment w:val="auto"/>
        <w:rPr>
          <w:rFonts w:hint="eastAsia" w:ascii="仿宋_GB2312" w:hAnsi="仿宋_GB2312" w:eastAsia="仿宋_GB2312" w:cs="仿宋_GB2312"/>
          <w:snapToGrid w:val="0"/>
          <w:color w:val="000000" w:themeColor="text1"/>
          <w:kern w:val="0"/>
          <w:sz w:val="32"/>
          <w:szCs w:val="32"/>
          <w:highlight w:val="none"/>
          <w:lang w:val="en-US" w:eastAsia="en-US" w:bidi="ar-SA"/>
          <w14:textFill>
            <w14:solidFill>
              <w14:schemeClr w14:val="tx1"/>
            </w14:solidFill>
          </w14:textFill>
        </w:rPr>
      </w:pPr>
      <w:r>
        <w:rPr>
          <w:rFonts w:hint="eastAsia" w:ascii="仿宋_GB2312" w:hAnsi="仿宋_GB2312" w:eastAsia="仿宋_GB2312" w:cs="仿宋_GB2312"/>
          <w:snapToGrid w:val="0"/>
          <w:color w:val="000000" w:themeColor="text1"/>
          <w:kern w:val="0"/>
          <w:sz w:val="32"/>
          <w:szCs w:val="32"/>
          <w:highlight w:val="none"/>
          <w:lang w:val="en-US" w:eastAsia="en-US" w:bidi="ar-SA"/>
          <w14:textFill>
            <w14:solidFill>
              <w14:schemeClr w14:val="tx1"/>
            </w14:solidFill>
          </w14:textFill>
        </w:rPr>
        <w:t>本细则适用于</w:t>
      </w:r>
      <w:r>
        <w:rPr>
          <w:rFonts w:hint="eastAsia" w:ascii="仿宋_GB2312" w:hAnsi="仿宋_GB2312" w:eastAsia="仿宋_GB2312" w:cs="仿宋_GB2312"/>
          <w:snapToGrid w:val="0"/>
          <w:color w:val="000000" w:themeColor="text1"/>
          <w:kern w:val="0"/>
          <w:sz w:val="32"/>
          <w:szCs w:val="32"/>
          <w:highlight w:val="none"/>
          <w:lang w:val="en-US" w:eastAsia="zh-CN" w:bidi="ar-SA"/>
          <w14:textFill>
            <w14:solidFill>
              <w14:schemeClr w14:val="tx1"/>
            </w14:solidFill>
          </w14:textFill>
        </w:rPr>
        <w:t>茅台学院</w:t>
      </w:r>
      <w:r>
        <w:rPr>
          <w:rFonts w:hint="eastAsia" w:ascii="仿宋_GB2312" w:hAnsi="仿宋_GB2312" w:eastAsia="仿宋_GB2312" w:cs="仿宋_GB2312"/>
          <w:snapToGrid w:val="0"/>
          <w:color w:val="000000" w:themeColor="text1"/>
          <w:kern w:val="0"/>
          <w:sz w:val="32"/>
          <w:szCs w:val="32"/>
          <w:highlight w:val="none"/>
          <w:lang w:val="en-US" w:eastAsia="en-US" w:bidi="ar-SA"/>
          <w14:textFill>
            <w14:solidFill>
              <w14:schemeClr w14:val="tx1"/>
            </w14:solidFill>
          </w14:textFill>
        </w:rPr>
        <w:t>工会委员会</w:t>
      </w:r>
      <w:r>
        <w:rPr>
          <w:rFonts w:hint="eastAsia" w:ascii="仿宋_GB2312" w:hAnsi="仿宋_GB2312" w:eastAsia="仿宋_GB2312" w:cs="仿宋_GB2312"/>
          <w:snapToGrid w:val="0"/>
          <w:color w:val="000000" w:themeColor="text1"/>
          <w:kern w:val="0"/>
          <w:sz w:val="32"/>
          <w:szCs w:val="32"/>
          <w:highlight w:val="none"/>
          <w:lang w:val="en-US" w:eastAsia="zh-CN" w:bidi="ar-SA"/>
          <w14:textFill>
            <w14:solidFill>
              <w14:schemeClr w14:val="tx1"/>
            </w14:solidFill>
          </w14:textFill>
        </w:rPr>
        <w:t>（以下简称：校工会）。</w:t>
      </w:r>
    </w:p>
    <w:p w14:paraId="4D883A6F">
      <w:pPr>
        <w:keepNext w:val="0"/>
        <w:keepLines w:val="0"/>
        <w:pageBreakBefore w:val="0"/>
        <w:widowControl w:val="0"/>
        <w:numPr>
          <w:ilvl w:val="0"/>
          <w:numId w:val="0"/>
        </w:numPr>
        <w:kinsoku/>
        <w:wordWrap w:val="0"/>
        <w:overflowPunct/>
        <w:topLinePunct/>
        <w:autoSpaceDE/>
        <w:autoSpaceDN/>
        <w:bidi w:val="0"/>
        <w:adjustRightInd/>
        <w:snapToGrid/>
        <w:spacing w:line="600" w:lineRule="exact"/>
        <w:ind w:firstLine="640" w:firstLineChars="200"/>
        <w:jc w:val="left"/>
        <w:textAlignment w:val="auto"/>
        <w:rPr>
          <w:rFonts w:hint="eastAsia" w:ascii="楷体_GB2312" w:hAnsi="楷体_GB2312" w:eastAsia="楷体_GB2312" w:cs="楷体_GB2312"/>
          <w:snapToGrid w:val="0"/>
          <w:color w:val="000000"/>
          <w:kern w:val="0"/>
          <w:sz w:val="32"/>
          <w:szCs w:val="32"/>
          <w:highlight w:val="none"/>
          <w:lang w:eastAsia="zh-CN"/>
        </w:rPr>
      </w:pPr>
      <w:r>
        <w:rPr>
          <w:rFonts w:hint="eastAsia" w:ascii="楷体_GB2312" w:hAnsi="楷体_GB2312" w:eastAsia="楷体_GB2312" w:cs="楷体_GB2312"/>
          <w:snapToGrid w:val="0"/>
          <w:color w:val="000000"/>
          <w:kern w:val="0"/>
          <w:sz w:val="32"/>
          <w:szCs w:val="32"/>
          <w:highlight w:val="none"/>
          <w:lang w:val="en-US" w:eastAsia="zh-CN"/>
        </w:rPr>
        <w:t xml:space="preserve">第二条  </w:t>
      </w:r>
      <w:r>
        <w:rPr>
          <w:rFonts w:hint="eastAsia" w:ascii="楷体_GB2312" w:hAnsi="楷体_GB2312" w:eastAsia="楷体_GB2312" w:cs="楷体_GB2312"/>
          <w:snapToGrid w:val="0"/>
          <w:color w:val="000000"/>
          <w:kern w:val="0"/>
          <w:sz w:val="32"/>
          <w:szCs w:val="32"/>
          <w:highlight w:val="none"/>
          <w:lang w:eastAsia="en-US"/>
        </w:rPr>
        <w:t>基本原则</w:t>
      </w:r>
    </w:p>
    <w:p w14:paraId="6D07CD1E">
      <w:pPr>
        <w:keepNext w:val="0"/>
        <w:keepLines w:val="0"/>
        <w:pageBreakBefore w:val="0"/>
        <w:widowControl w:val="0"/>
        <w:numPr>
          <w:ilvl w:val="0"/>
          <w:numId w:val="0"/>
        </w:numPr>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eastAsia="zh-CN"/>
        </w:rPr>
        <w:t>工会会员服务卡</w:t>
      </w:r>
      <w:r>
        <w:rPr>
          <w:rFonts w:hint="eastAsia" w:ascii="仿宋_GB2312" w:hAnsi="仿宋_GB2312" w:eastAsia="仿宋_GB2312" w:cs="仿宋_GB2312"/>
          <w:snapToGrid w:val="0"/>
          <w:color w:val="000000"/>
          <w:kern w:val="0"/>
          <w:sz w:val="32"/>
          <w:szCs w:val="32"/>
          <w:highlight w:val="none"/>
          <w:lang w:eastAsia="en-US"/>
        </w:rPr>
        <w:t>发放严格遵循“专款专用、便捷高效、公开透明”原则，不得发放现金、购物卡和代金券，资金使用需符合国家及贵州省</w:t>
      </w:r>
      <w:r>
        <w:rPr>
          <w:rFonts w:hint="eastAsia" w:ascii="仿宋_GB2312" w:hAnsi="仿宋_GB2312" w:eastAsia="仿宋_GB2312" w:cs="仿宋_GB2312"/>
          <w:snapToGrid w:val="0"/>
          <w:color w:val="000000"/>
          <w:kern w:val="0"/>
          <w:sz w:val="32"/>
          <w:szCs w:val="32"/>
          <w:highlight w:val="none"/>
          <w:lang w:val="en-US" w:eastAsia="zh-CN"/>
        </w:rPr>
        <w:t>总</w:t>
      </w:r>
      <w:r>
        <w:rPr>
          <w:rFonts w:hint="eastAsia" w:ascii="仿宋_GB2312" w:hAnsi="仿宋_GB2312" w:eastAsia="仿宋_GB2312" w:cs="仿宋_GB2312"/>
          <w:snapToGrid w:val="0"/>
          <w:color w:val="000000"/>
          <w:kern w:val="0"/>
          <w:sz w:val="32"/>
          <w:szCs w:val="32"/>
          <w:highlight w:val="none"/>
          <w:lang w:eastAsia="en-US"/>
        </w:rPr>
        <w:t>工会经费管理要求。</w:t>
      </w:r>
    </w:p>
    <w:p w14:paraId="6D499CB3">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楷体_GB2312" w:hAnsi="楷体_GB2312" w:eastAsia="楷体_GB2312" w:cs="楷体_GB2312"/>
          <w:snapToGrid w:val="0"/>
          <w:color w:val="000000"/>
          <w:kern w:val="0"/>
          <w:sz w:val="32"/>
          <w:szCs w:val="32"/>
          <w:highlight w:val="none"/>
          <w:lang w:eastAsia="en-US"/>
        </w:rPr>
      </w:pPr>
      <w:r>
        <w:rPr>
          <w:rFonts w:hint="eastAsia" w:ascii="楷体_GB2312" w:hAnsi="楷体_GB2312" w:eastAsia="楷体_GB2312" w:cs="楷体_GB2312"/>
          <w:snapToGrid w:val="0"/>
          <w:color w:val="000000"/>
          <w:kern w:val="0"/>
          <w:sz w:val="32"/>
          <w:szCs w:val="32"/>
          <w:highlight w:val="none"/>
          <w:lang w:eastAsia="en-US"/>
        </w:rPr>
        <w:t>第</w:t>
      </w:r>
      <w:r>
        <w:rPr>
          <w:rFonts w:hint="eastAsia" w:ascii="楷体_GB2312" w:hAnsi="楷体_GB2312" w:eastAsia="楷体_GB2312" w:cs="楷体_GB2312"/>
          <w:snapToGrid w:val="0"/>
          <w:color w:val="000000"/>
          <w:kern w:val="0"/>
          <w:sz w:val="32"/>
          <w:szCs w:val="32"/>
          <w:highlight w:val="none"/>
          <w:lang w:val="en-US" w:eastAsia="zh-CN"/>
        </w:rPr>
        <w:t>三</w:t>
      </w:r>
      <w:r>
        <w:rPr>
          <w:rFonts w:hint="eastAsia" w:ascii="楷体_GB2312" w:hAnsi="楷体_GB2312" w:eastAsia="楷体_GB2312" w:cs="楷体_GB2312"/>
          <w:snapToGrid w:val="0"/>
          <w:color w:val="000000"/>
          <w:kern w:val="0"/>
          <w:sz w:val="32"/>
          <w:szCs w:val="32"/>
          <w:highlight w:val="none"/>
          <w:lang w:eastAsia="en-US"/>
        </w:rPr>
        <w:t>条 节日及生日慰问范围</w:t>
      </w:r>
    </w:p>
    <w:p w14:paraId="620ED014">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val="en-US" w:eastAsia="zh-CN"/>
        </w:rPr>
        <w:t>根据</w:t>
      </w:r>
      <w:r>
        <w:rPr>
          <w:rFonts w:hint="eastAsia" w:ascii="仿宋_GB2312" w:hAnsi="仿宋_GB2312" w:eastAsia="仿宋_GB2312" w:cs="仿宋_GB2312"/>
          <w:snapToGrid w:val="0"/>
          <w:color w:val="000000"/>
          <w:kern w:val="0"/>
          <w:sz w:val="32"/>
          <w:szCs w:val="32"/>
          <w:highlight w:val="none"/>
          <w:lang w:eastAsia="en-US"/>
        </w:rPr>
        <w:t>《贵州省基层工会经费收支管理实施细则》 (黔工总字〔2025〕20号)</w:t>
      </w:r>
      <w:r>
        <w:rPr>
          <w:rFonts w:hint="eastAsia" w:ascii="仿宋_GB2312" w:hAnsi="仿宋_GB2312" w:eastAsia="仿宋_GB2312" w:cs="仿宋_GB2312"/>
          <w:snapToGrid w:val="0"/>
          <w:color w:val="000000"/>
          <w:kern w:val="0"/>
          <w:sz w:val="32"/>
          <w:szCs w:val="32"/>
          <w:highlight w:val="none"/>
          <w:lang w:val="en-US" w:eastAsia="zh-CN"/>
        </w:rPr>
        <w:t>相关</w:t>
      </w:r>
      <w:r>
        <w:rPr>
          <w:rFonts w:hint="eastAsia" w:ascii="仿宋_GB2312" w:hAnsi="仿宋_GB2312" w:eastAsia="仿宋_GB2312" w:cs="仿宋_GB2312"/>
          <w:snapToGrid w:val="0"/>
          <w:color w:val="000000"/>
          <w:kern w:val="0"/>
          <w:sz w:val="32"/>
          <w:szCs w:val="32"/>
          <w:highlight w:val="none"/>
          <w:lang w:eastAsia="en-US"/>
        </w:rPr>
        <w:t>规定，</w:t>
      </w:r>
      <w:r>
        <w:rPr>
          <w:rFonts w:hint="eastAsia" w:ascii="仿宋_GB2312" w:hAnsi="仿宋_GB2312" w:eastAsia="仿宋_GB2312" w:cs="仿宋_GB2312"/>
          <w:snapToGrid w:val="0"/>
          <w:color w:val="000000"/>
          <w:kern w:val="0"/>
          <w:sz w:val="32"/>
          <w:szCs w:val="32"/>
          <w:highlight w:val="none"/>
          <w:lang w:val="en-US" w:eastAsia="zh-CN"/>
        </w:rPr>
        <w:t>对</w:t>
      </w:r>
      <w:r>
        <w:rPr>
          <w:rFonts w:hint="eastAsia" w:ascii="仿宋_GB2312" w:hAnsi="仿宋_GB2312" w:eastAsia="仿宋_GB2312" w:cs="仿宋_GB2312"/>
          <w:snapToGrid w:val="0"/>
          <w:color w:val="000000"/>
          <w:kern w:val="0"/>
          <w:sz w:val="32"/>
          <w:szCs w:val="32"/>
          <w:highlight w:val="none"/>
          <w:lang w:eastAsia="en-US"/>
        </w:rPr>
        <w:t>按期缴纳会费的在职工会会员</w:t>
      </w:r>
      <w:r>
        <w:rPr>
          <w:rFonts w:hint="eastAsia" w:ascii="仿宋_GB2312" w:hAnsi="仿宋_GB2312" w:eastAsia="仿宋_GB2312" w:cs="仿宋_GB2312"/>
          <w:snapToGrid w:val="0"/>
          <w:color w:val="000000"/>
          <w:kern w:val="0"/>
          <w:sz w:val="32"/>
          <w:szCs w:val="32"/>
          <w:highlight w:val="none"/>
          <w:lang w:val="en-US" w:eastAsia="zh-CN"/>
        </w:rPr>
        <w:t>开展节日及生日慰问，其中：</w:t>
      </w:r>
      <w:r>
        <w:rPr>
          <w:rFonts w:hint="eastAsia" w:ascii="仿宋_GB2312" w:hAnsi="仿宋_GB2312" w:eastAsia="仿宋_GB2312" w:cs="仿宋_GB2312"/>
          <w:snapToGrid w:val="0"/>
          <w:color w:val="000000"/>
          <w:kern w:val="0"/>
          <w:sz w:val="32"/>
          <w:szCs w:val="32"/>
          <w:highlight w:val="none"/>
          <w:lang w:eastAsia="en-US"/>
        </w:rPr>
        <w:t>节日慰问</w:t>
      </w:r>
      <w:r>
        <w:rPr>
          <w:rFonts w:hint="eastAsia" w:ascii="仿宋_GB2312" w:hAnsi="仿宋_GB2312" w:eastAsia="仿宋_GB2312" w:cs="仿宋_GB2312"/>
          <w:snapToGrid w:val="0"/>
          <w:color w:val="000000"/>
          <w:kern w:val="0"/>
          <w:sz w:val="32"/>
          <w:szCs w:val="32"/>
          <w:highlight w:val="none"/>
          <w:lang w:val="en-US" w:eastAsia="zh-CN"/>
        </w:rPr>
        <w:t>主要是指国家规定的</w:t>
      </w:r>
      <w:r>
        <w:rPr>
          <w:rFonts w:hint="eastAsia" w:ascii="仿宋_GB2312" w:hAnsi="仿宋_GB2312" w:eastAsia="仿宋_GB2312" w:cs="仿宋_GB2312"/>
          <w:snapToGrid w:val="0"/>
          <w:color w:val="000000"/>
          <w:kern w:val="0"/>
          <w:sz w:val="32"/>
          <w:szCs w:val="32"/>
          <w:highlight w:val="none"/>
          <w:lang w:eastAsia="en-US"/>
        </w:rPr>
        <w:t>全体公民放假</w:t>
      </w:r>
      <w:r>
        <w:rPr>
          <w:rFonts w:hint="eastAsia" w:ascii="仿宋_GB2312" w:hAnsi="仿宋_GB2312" w:eastAsia="仿宋_GB2312" w:cs="仿宋_GB2312"/>
          <w:snapToGrid w:val="0"/>
          <w:color w:val="000000"/>
          <w:kern w:val="0"/>
          <w:sz w:val="32"/>
          <w:szCs w:val="32"/>
          <w:highlight w:val="none"/>
          <w:lang w:eastAsia="zh-CN"/>
        </w:rPr>
        <w:t>的</w:t>
      </w:r>
      <w:r>
        <w:rPr>
          <w:rFonts w:hint="eastAsia" w:ascii="仿宋_GB2312" w:hAnsi="仿宋_GB2312" w:eastAsia="仿宋_GB2312" w:cs="仿宋_GB2312"/>
          <w:snapToGrid w:val="0"/>
          <w:color w:val="000000"/>
          <w:kern w:val="0"/>
          <w:sz w:val="32"/>
          <w:szCs w:val="32"/>
          <w:highlight w:val="none"/>
          <w:lang w:eastAsia="en-US"/>
        </w:rPr>
        <w:t>节日</w:t>
      </w:r>
      <w:r>
        <w:rPr>
          <w:rFonts w:hint="eastAsia" w:ascii="仿宋_GB2312" w:hAnsi="仿宋_GB2312" w:eastAsia="仿宋_GB2312" w:cs="仿宋_GB2312"/>
          <w:snapToGrid w:val="0"/>
          <w:color w:val="000000"/>
          <w:kern w:val="0"/>
          <w:sz w:val="32"/>
          <w:szCs w:val="32"/>
          <w:highlight w:val="none"/>
          <w:lang w:eastAsia="zh-CN"/>
        </w:rPr>
        <w:t>（</w:t>
      </w:r>
      <w:r>
        <w:rPr>
          <w:rFonts w:hint="eastAsia" w:ascii="仿宋_GB2312" w:hAnsi="仿宋_GB2312" w:eastAsia="仿宋_GB2312" w:cs="仿宋_GB2312"/>
          <w:snapToGrid w:val="0"/>
          <w:color w:val="000000"/>
          <w:kern w:val="0"/>
          <w:sz w:val="32"/>
          <w:szCs w:val="32"/>
          <w:highlight w:val="none"/>
          <w:lang w:eastAsia="en-US"/>
        </w:rPr>
        <w:t>元旦节、春节、清明节、劳动节、端午节、中秋节、国庆节</w:t>
      </w:r>
      <w:r>
        <w:rPr>
          <w:rFonts w:hint="eastAsia" w:ascii="仿宋_GB2312" w:hAnsi="仿宋_GB2312" w:eastAsia="仿宋_GB2312" w:cs="仿宋_GB2312"/>
          <w:snapToGrid w:val="0"/>
          <w:color w:val="000000"/>
          <w:kern w:val="0"/>
          <w:sz w:val="32"/>
          <w:szCs w:val="32"/>
          <w:highlight w:val="none"/>
          <w:lang w:eastAsia="zh-CN"/>
        </w:rPr>
        <w:t>）</w:t>
      </w:r>
      <w:r>
        <w:rPr>
          <w:rFonts w:hint="eastAsia" w:ascii="仿宋_GB2312" w:hAnsi="仿宋_GB2312" w:eastAsia="仿宋_GB2312" w:cs="仿宋_GB2312"/>
          <w:snapToGrid w:val="0"/>
          <w:color w:val="000000"/>
          <w:kern w:val="0"/>
          <w:sz w:val="32"/>
          <w:szCs w:val="32"/>
          <w:highlight w:val="none"/>
          <w:lang w:eastAsia="en-US"/>
        </w:rPr>
        <w:t>。</w:t>
      </w:r>
    </w:p>
    <w:p w14:paraId="6104A32C">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楷体_GB2312" w:hAnsi="楷体_GB2312" w:eastAsia="楷体_GB2312" w:cs="楷体_GB2312"/>
          <w:snapToGrid w:val="0"/>
          <w:color w:val="000000"/>
          <w:kern w:val="0"/>
          <w:sz w:val="32"/>
          <w:szCs w:val="32"/>
          <w:highlight w:val="none"/>
          <w:lang w:eastAsia="en-US"/>
        </w:rPr>
      </w:pPr>
      <w:r>
        <w:rPr>
          <w:rFonts w:hint="eastAsia" w:ascii="楷体_GB2312" w:hAnsi="楷体_GB2312" w:eastAsia="楷体_GB2312" w:cs="楷体_GB2312"/>
          <w:snapToGrid w:val="0"/>
          <w:color w:val="000000"/>
          <w:kern w:val="0"/>
          <w:sz w:val="32"/>
          <w:szCs w:val="32"/>
          <w:highlight w:val="none"/>
          <w:lang w:eastAsia="en-US"/>
        </w:rPr>
        <w:t>第</w:t>
      </w:r>
      <w:r>
        <w:rPr>
          <w:rFonts w:hint="eastAsia" w:ascii="楷体_GB2312" w:hAnsi="楷体_GB2312" w:eastAsia="楷体_GB2312" w:cs="楷体_GB2312"/>
          <w:snapToGrid w:val="0"/>
          <w:color w:val="000000"/>
          <w:kern w:val="0"/>
          <w:sz w:val="32"/>
          <w:szCs w:val="32"/>
          <w:highlight w:val="none"/>
          <w:lang w:val="en-US" w:eastAsia="zh-CN"/>
        </w:rPr>
        <w:t>四</w:t>
      </w:r>
      <w:r>
        <w:rPr>
          <w:rFonts w:hint="eastAsia" w:ascii="楷体_GB2312" w:hAnsi="楷体_GB2312" w:eastAsia="楷体_GB2312" w:cs="楷体_GB2312"/>
          <w:snapToGrid w:val="0"/>
          <w:color w:val="000000"/>
          <w:kern w:val="0"/>
          <w:sz w:val="32"/>
          <w:szCs w:val="32"/>
          <w:highlight w:val="none"/>
          <w:lang w:eastAsia="en-US"/>
        </w:rPr>
        <w:t>条 慰问标准</w:t>
      </w:r>
    </w:p>
    <w:p w14:paraId="434E7F98">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snapToGrid w:val="0"/>
          <w:color w:val="000000"/>
          <w:kern w:val="0"/>
          <w:sz w:val="32"/>
          <w:szCs w:val="32"/>
          <w:highlight w:val="none"/>
          <w:lang w:val="en-US" w:eastAsia="zh-CN"/>
        </w:rPr>
      </w:pPr>
      <w:r>
        <w:rPr>
          <w:rFonts w:hint="eastAsia" w:ascii="仿宋_GB2312" w:hAnsi="仿宋_GB2312" w:eastAsia="仿宋_GB2312" w:cs="仿宋_GB2312"/>
          <w:snapToGrid w:val="0"/>
          <w:color w:val="000000"/>
          <w:kern w:val="0"/>
          <w:sz w:val="32"/>
          <w:szCs w:val="32"/>
          <w:highlight w:val="none"/>
          <w:lang w:val="en-US" w:eastAsia="zh-CN"/>
        </w:rPr>
        <w:t>一年共计不超过3100元/人，具体如下：</w:t>
      </w:r>
    </w:p>
    <w:p w14:paraId="0D4401E3">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eastAsia="en-US"/>
        </w:rPr>
        <w:t>1.春节：</w:t>
      </w:r>
      <w:r>
        <w:rPr>
          <w:rFonts w:hint="eastAsia" w:ascii="仿宋_GB2312" w:hAnsi="仿宋_GB2312" w:eastAsia="仿宋_GB2312" w:cs="仿宋_GB2312"/>
          <w:snapToGrid w:val="0"/>
          <w:color w:val="000000"/>
          <w:kern w:val="0"/>
          <w:sz w:val="32"/>
          <w:szCs w:val="32"/>
          <w:highlight w:val="none"/>
          <w:lang w:val="en-US" w:eastAsia="zh-CN"/>
        </w:rPr>
        <w:t>不超过</w:t>
      </w:r>
      <w:r>
        <w:rPr>
          <w:rFonts w:hint="eastAsia" w:ascii="仿宋_GB2312" w:hAnsi="仿宋_GB2312" w:eastAsia="仿宋_GB2312" w:cs="仿宋_GB2312"/>
          <w:snapToGrid w:val="0"/>
          <w:color w:val="000000"/>
          <w:kern w:val="0"/>
          <w:sz w:val="32"/>
          <w:szCs w:val="32"/>
          <w:highlight w:val="none"/>
          <w:lang w:eastAsia="en-US"/>
        </w:rPr>
        <w:t>800元</w:t>
      </w:r>
      <w:r>
        <w:rPr>
          <w:rFonts w:hint="eastAsia" w:ascii="仿宋_GB2312" w:hAnsi="仿宋_GB2312" w:eastAsia="仿宋_GB2312" w:cs="仿宋_GB2312"/>
          <w:snapToGrid w:val="0"/>
          <w:color w:val="000000"/>
          <w:kern w:val="0"/>
          <w:sz w:val="32"/>
          <w:szCs w:val="32"/>
          <w:highlight w:val="none"/>
          <w:lang w:val="en-US" w:eastAsia="zh-CN"/>
        </w:rPr>
        <w:t>/人</w:t>
      </w:r>
      <w:r>
        <w:rPr>
          <w:rFonts w:hint="eastAsia" w:ascii="仿宋_GB2312" w:hAnsi="仿宋_GB2312" w:eastAsia="仿宋_GB2312" w:cs="仿宋_GB2312"/>
          <w:snapToGrid w:val="0"/>
          <w:color w:val="000000"/>
          <w:kern w:val="0"/>
          <w:sz w:val="32"/>
          <w:szCs w:val="32"/>
          <w:highlight w:val="none"/>
          <w:lang w:eastAsia="en-US"/>
        </w:rPr>
        <w:t>；</w:t>
      </w:r>
    </w:p>
    <w:p w14:paraId="7C31FCB8">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eastAsia="en-US"/>
        </w:rPr>
        <w:t>2.国庆节：</w:t>
      </w:r>
      <w:r>
        <w:rPr>
          <w:rFonts w:hint="eastAsia" w:ascii="仿宋_GB2312" w:hAnsi="仿宋_GB2312" w:eastAsia="仿宋_GB2312" w:cs="仿宋_GB2312"/>
          <w:snapToGrid w:val="0"/>
          <w:color w:val="000000"/>
          <w:kern w:val="0"/>
          <w:sz w:val="32"/>
          <w:szCs w:val="32"/>
          <w:highlight w:val="none"/>
          <w:lang w:val="en-US" w:eastAsia="zh-CN"/>
        </w:rPr>
        <w:t>不超过</w:t>
      </w:r>
      <w:r>
        <w:rPr>
          <w:rFonts w:hint="eastAsia" w:ascii="仿宋_GB2312" w:hAnsi="仿宋_GB2312" w:eastAsia="仿宋_GB2312" w:cs="仿宋_GB2312"/>
          <w:snapToGrid w:val="0"/>
          <w:color w:val="000000"/>
          <w:kern w:val="0"/>
          <w:sz w:val="32"/>
          <w:szCs w:val="32"/>
          <w:highlight w:val="none"/>
          <w:lang w:eastAsia="en-US"/>
        </w:rPr>
        <w:t>600元</w:t>
      </w:r>
      <w:r>
        <w:rPr>
          <w:rFonts w:hint="eastAsia" w:ascii="仿宋_GB2312" w:hAnsi="仿宋_GB2312" w:eastAsia="仿宋_GB2312" w:cs="仿宋_GB2312"/>
          <w:snapToGrid w:val="0"/>
          <w:color w:val="000000"/>
          <w:kern w:val="0"/>
          <w:sz w:val="32"/>
          <w:szCs w:val="32"/>
          <w:highlight w:val="none"/>
          <w:lang w:val="en-US" w:eastAsia="zh-CN"/>
        </w:rPr>
        <w:t>/人</w:t>
      </w:r>
      <w:r>
        <w:rPr>
          <w:rFonts w:hint="eastAsia" w:ascii="仿宋_GB2312" w:hAnsi="仿宋_GB2312" w:eastAsia="仿宋_GB2312" w:cs="仿宋_GB2312"/>
          <w:snapToGrid w:val="0"/>
          <w:color w:val="000000"/>
          <w:kern w:val="0"/>
          <w:sz w:val="32"/>
          <w:szCs w:val="32"/>
          <w:highlight w:val="none"/>
          <w:lang w:eastAsia="en-US"/>
        </w:rPr>
        <w:t>；</w:t>
      </w:r>
    </w:p>
    <w:p w14:paraId="57EEA939">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eastAsia="en-US"/>
        </w:rPr>
        <w:t>3.劳动节：</w:t>
      </w:r>
      <w:r>
        <w:rPr>
          <w:rFonts w:hint="eastAsia" w:ascii="仿宋_GB2312" w:hAnsi="仿宋_GB2312" w:eastAsia="仿宋_GB2312" w:cs="仿宋_GB2312"/>
          <w:snapToGrid w:val="0"/>
          <w:color w:val="000000"/>
          <w:kern w:val="0"/>
          <w:sz w:val="32"/>
          <w:szCs w:val="32"/>
          <w:highlight w:val="none"/>
          <w:lang w:val="en-US" w:eastAsia="zh-CN"/>
        </w:rPr>
        <w:t>不超过</w:t>
      </w:r>
      <w:r>
        <w:rPr>
          <w:rFonts w:hint="eastAsia" w:ascii="仿宋_GB2312" w:hAnsi="仿宋_GB2312" w:eastAsia="仿宋_GB2312" w:cs="仿宋_GB2312"/>
          <w:snapToGrid w:val="0"/>
          <w:color w:val="000000"/>
          <w:kern w:val="0"/>
          <w:sz w:val="32"/>
          <w:szCs w:val="32"/>
          <w:highlight w:val="none"/>
          <w:lang w:eastAsia="en-US"/>
        </w:rPr>
        <w:t>400元</w:t>
      </w:r>
      <w:r>
        <w:rPr>
          <w:rFonts w:hint="eastAsia" w:ascii="仿宋_GB2312" w:hAnsi="仿宋_GB2312" w:eastAsia="仿宋_GB2312" w:cs="仿宋_GB2312"/>
          <w:snapToGrid w:val="0"/>
          <w:color w:val="000000"/>
          <w:kern w:val="0"/>
          <w:sz w:val="32"/>
          <w:szCs w:val="32"/>
          <w:highlight w:val="none"/>
          <w:lang w:val="en-US" w:eastAsia="zh-CN"/>
        </w:rPr>
        <w:t>/人</w:t>
      </w:r>
      <w:r>
        <w:rPr>
          <w:rFonts w:hint="eastAsia" w:ascii="仿宋_GB2312" w:hAnsi="仿宋_GB2312" w:eastAsia="仿宋_GB2312" w:cs="仿宋_GB2312"/>
          <w:snapToGrid w:val="0"/>
          <w:color w:val="000000"/>
          <w:kern w:val="0"/>
          <w:sz w:val="32"/>
          <w:szCs w:val="32"/>
          <w:highlight w:val="none"/>
          <w:lang w:eastAsia="en-US"/>
        </w:rPr>
        <w:t>；</w:t>
      </w:r>
    </w:p>
    <w:p w14:paraId="6CE40A1C">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eastAsia="en-US"/>
        </w:rPr>
        <w:t>4.其他节日（元旦、清明、端午、中秋）：每个节日</w:t>
      </w:r>
      <w:r>
        <w:rPr>
          <w:rFonts w:hint="eastAsia" w:ascii="仿宋_GB2312" w:hAnsi="仿宋_GB2312" w:eastAsia="仿宋_GB2312" w:cs="仿宋_GB2312"/>
          <w:snapToGrid w:val="0"/>
          <w:color w:val="000000"/>
          <w:kern w:val="0"/>
          <w:sz w:val="32"/>
          <w:szCs w:val="32"/>
          <w:highlight w:val="none"/>
          <w:lang w:val="en-US" w:eastAsia="zh-CN"/>
        </w:rPr>
        <w:t>不超过</w:t>
      </w:r>
      <w:r>
        <w:rPr>
          <w:rFonts w:hint="eastAsia" w:ascii="仿宋_GB2312" w:hAnsi="仿宋_GB2312" w:eastAsia="仿宋_GB2312" w:cs="仿宋_GB2312"/>
          <w:snapToGrid w:val="0"/>
          <w:color w:val="000000"/>
          <w:kern w:val="0"/>
          <w:sz w:val="32"/>
          <w:szCs w:val="32"/>
          <w:highlight w:val="none"/>
          <w:lang w:eastAsia="en-US"/>
        </w:rPr>
        <w:t>200元</w:t>
      </w:r>
      <w:r>
        <w:rPr>
          <w:rFonts w:hint="eastAsia" w:ascii="仿宋_GB2312" w:hAnsi="仿宋_GB2312" w:eastAsia="仿宋_GB2312" w:cs="仿宋_GB2312"/>
          <w:snapToGrid w:val="0"/>
          <w:color w:val="000000"/>
          <w:kern w:val="0"/>
          <w:sz w:val="32"/>
          <w:szCs w:val="32"/>
          <w:highlight w:val="none"/>
          <w:lang w:val="en-US" w:eastAsia="zh-CN"/>
        </w:rPr>
        <w:t>/人</w:t>
      </w:r>
      <w:r>
        <w:rPr>
          <w:rFonts w:hint="eastAsia" w:ascii="仿宋_GB2312" w:hAnsi="仿宋_GB2312" w:eastAsia="仿宋_GB2312" w:cs="仿宋_GB2312"/>
          <w:snapToGrid w:val="0"/>
          <w:color w:val="000000"/>
          <w:kern w:val="0"/>
          <w:sz w:val="32"/>
          <w:szCs w:val="32"/>
          <w:highlight w:val="none"/>
          <w:lang w:eastAsia="en-US"/>
        </w:rPr>
        <w:t>；</w:t>
      </w:r>
    </w:p>
    <w:p w14:paraId="524AEFE7">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eastAsia="en-US"/>
        </w:rPr>
        <w:t>5.会员生日：</w:t>
      </w:r>
      <w:r>
        <w:rPr>
          <w:rFonts w:hint="eastAsia" w:ascii="仿宋_GB2312" w:hAnsi="仿宋_GB2312" w:eastAsia="仿宋_GB2312" w:cs="仿宋_GB2312"/>
          <w:snapToGrid w:val="0"/>
          <w:color w:val="000000"/>
          <w:kern w:val="0"/>
          <w:sz w:val="32"/>
          <w:szCs w:val="32"/>
          <w:highlight w:val="none"/>
          <w:lang w:val="en-US" w:eastAsia="zh-CN"/>
        </w:rPr>
        <w:t>不超过5</w:t>
      </w:r>
      <w:r>
        <w:rPr>
          <w:rFonts w:hint="eastAsia" w:ascii="仿宋_GB2312" w:hAnsi="仿宋_GB2312" w:eastAsia="仿宋_GB2312" w:cs="仿宋_GB2312"/>
          <w:snapToGrid w:val="0"/>
          <w:color w:val="000000"/>
          <w:kern w:val="0"/>
          <w:sz w:val="32"/>
          <w:szCs w:val="32"/>
          <w:highlight w:val="none"/>
          <w:lang w:eastAsia="en-US"/>
        </w:rPr>
        <w:t>00元</w:t>
      </w:r>
      <w:r>
        <w:rPr>
          <w:rFonts w:hint="eastAsia" w:ascii="仿宋_GB2312" w:hAnsi="仿宋_GB2312" w:eastAsia="仿宋_GB2312" w:cs="仿宋_GB2312"/>
          <w:snapToGrid w:val="0"/>
          <w:color w:val="000000"/>
          <w:kern w:val="0"/>
          <w:sz w:val="32"/>
          <w:szCs w:val="32"/>
          <w:highlight w:val="none"/>
          <w:lang w:val="en-US" w:eastAsia="zh-CN"/>
        </w:rPr>
        <w:t>/人</w:t>
      </w:r>
      <w:r>
        <w:rPr>
          <w:rFonts w:hint="eastAsia" w:ascii="仿宋_GB2312" w:hAnsi="仿宋_GB2312" w:eastAsia="仿宋_GB2312" w:cs="仿宋_GB2312"/>
          <w:snapToGrid w:val="0"/>
          <w:color w:val="000000"/>
          <w:kern w:val="0"/>
          <w:sz w:val="32"/>
          <w:szCs w:val="32"/>
          <w:highlight w:val="none"/>
          <w:lang w:eastAsia="en-US"/>
        </w:rPr>
        <w:t>。</w:t>
      </w:r>
    </w:p>
    <w:p w14:paraId="3595578A">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楷体_GB2312" w:hAnsi="楷体_GB2312" w:eastAsia="楷体_GB2312" w:cs="楷体_GB2312"/>
          <w:snapToGrid w:val="0"/>
          <w:color w:val="000000"/>
          <w:kern w:val="0"/>
          <w:sz w:val="32"/>
          <w:szCs w:val="32"/>
          <w:highlight w:val="none"/>
          <w:lang w:eastAsia="en-US"/>
        </w:rPr>
      </w:pPr>
      <w:r>
        <w:rPr>
          <w:rFonts w:hint="eastAsia" w:ascii="楷体_GB2312" w:hAnsi="楷体_GB2312" w:eastAsia="楷体_GB2312" w:cs="楷体_GB2312"/>
          <w:snapToGrid w:val="0"/>
          <w:color w:val="000000"/>
          <w:kern w:val="0"/>
          <w:sz w:val="32"/>
          <w:szCs w:val="32"/>
          <w:highlight w:val="none"/>
          <w:lang w:eastAsia="en-US"/>
        </w:rPr>
        <w:t>第</w:t>
      </w:r>
      <w:r>
        <w:rPr>
          <w:rFonts w:hint="eastAsia" w:ascii="楷体_GB2312" w:hAnsi="楷体_GB2312" w:eastAsia="楷体_GB2312" w:cs="楷体_GB2312"/>
          <w:snapToGrid w:val="0"/>
          <w:color w:val="000000"/>
          <w:kern w:val="0"/>
          <w:sz w:val="32"/>
          <w:szCs w:val="32"/>
          <w:highlight w:val="none"/>
          <w:lang w:val="en-US" w:eastAsia="zh-CN"/>
        </w:rPr>
        <w:t>五</w:t>
      </w:r>
      <w:r>
        <w:rPr>
          <w:rFonts w:hint="eastAsia" w:ascii="楷体_GB2312" w:hAnsi="楷体_GB2312" w:eastAsia="楷体_GB2312" w:cs="楷体_GB2312"/>
          <w:snapToGrid w:val="0"/>
          <w:color w:val="000000"/>
          <w:kern w:val="0"/>
          <w:sz w:val="32"/>
          <w:szCs w:val="32"/>
          <w:highlight w:val="none"/>
          <w:lang w:eastAsia="en-US"/>
        </w:rPr>
        <w:t xml:space="preserve">条 </w:t>
      </w:r>
      <w:r>
        <w:rPr>
          <w:rFonts w:hint="eastAsia" w:ascii="楷体_GB2312" w:hAnsi="楷体_GB2312" w:eastAsia="楷体_GB2312" w:cs="楷体_GB2312"/>
          <w:snapToGrid w:val="0"/>
          <w:color w:val="000000"/>
          <w:kern w:val="0"/>
          <w:sz w:val="32"/>
          <w:szCs w:val="32"/>
          <w:highlight w:val="none"/>
          <w:lang w:val="en-US" w:eastAsia="zh-CN"/>
        </w:rPr>
        <w:t>工会会员服务卡</w:t>
      </w:r>
      <w:r>
        <w:rPr>
          <w:rFonts w:hint="eastAsia" w:ascii="楷体_GB2312" w:hAnsi="楷体_GB2312" w:eastAsia="楷体_GB2312" w:cs="楷体_GB2312"/>
          <w:snapToGrid w:val="0"/>
          <w:color w:val="000000"/>
          <w:kern w:val="0"/>
          <w:sz w:val="32"/>
          <w:szCs w:val="32"/>
          <w:highlight w:val="none"/>
          <w:lang w:eastAsia="en-US"/>
        </w:rPr>
        <w:t>形式与合作机构</w:t>
      </w:r>
    </w:p>
    <w:p w14:paraId="0D84A04F">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eastAsia="zh-CN"/>
        </w:rPr>
        <w:t>工会会员服务卡</w:t>
      </w:r>
      <w:r>
        <w:rPr>
          <w:rFonts w:hint="eastAsia" w:ascii="仿宋_GB2312" w:hAnsi="仿宋_GB2312" w:eastAsia="仿宋_GB2312" w:cs="仿宋_GB2312"/>
          <w:snapToGrid w:val="0"/>
          <w:color w:val="000000"/>
          <w:kern w:val="0"/>
          <w:sz w:val="32"/>
          <w:szCs w:val="32"/>
          <w:highlight w:val="none"/>
          <w:lang w:eastAsia="en-US"/>
        </w:rPr>
        <w:t>由</w:t>
      </w:r>
      <w:r>
        <w:rPr>
          <w:rFonts w:hint="eastAsia" w:ascii="仿宋_GB2312" w:hAnsi="仿宋_GB2312" w:eastAsia="仿宋_GB2312" w:cs="仿宋_GB2312"/>
          <w:snapToGrid w:val="0"/>
          <w:color w:val="000000"/>
          <w:kern w:val="0"/>
          <w:sz w:val="32"/>
          <w:szCs w:val="32"/>
          <w:highlight w:val="none"/>
          <w:lang w:val="en-US" w:eastAsia="zh-CN"/>
        </w:rPr>
        <w:t>基层工会</w:t>
      </w:r>
      <w:r>
        <w:rPr>
          <w:rFonts w:hint="eastAsia" w:ascii="仿宋_GB2312" w:hAnsi="仿宋_GB2312" w:eastAsia="仿宋_GB2312" w:cs="仿宋_GB2312"/>
          <w:snapToGrid w:val="0"/>
          <w:color w:val="000000"/>
          <w:kern w:val="0"/>
          <w:sz w:val="32"/>
          <w:szCs w:val="32"/>
          <w:highlight w:val="none"/>
          <w:lang w:eastAsia="en-US"/>
        </w:rPr>
        <w:t>与省总</w:t>
      </w:r>
      <w:r>
        <w:rPr>
          <w:rFonts w:hint="eastAsia" w:ascii="仿宋_GB2312" w:hAnsi="仿宋_GB2312" w:eastAsia="仿宋_GB2312" w:cs="仿宋_GB2312"/>
          <w:snapToGrid w:val="0"/>
          <w:color w:val="000000"/>
          <w:kern w:val="0"/>
          <w:sz w:val="32"/>
          <w:szCs w:val="32"/>
          <w:highlight w:val="none"/>
          <w:lang w:val="en-US" w:eastAsia="zh-CN"/>
        </w:rPr>
        <w:t>工会</w:t>
      </w:r>
      <w:r>
        <w:rPr>
          <w:rFonts w:hint="eastAsia" w:ascii="仿宋_GB2312" w:hAnsi="仿宋_GB2312" w:eastAsia="仿宋_GB2312" w:cs="仿宋_GB2312"/>
          <w:snapToGrid w:val="0"/>
          <w:color w:val="000000"/>
          <w:kern w:val="0"/>
          <w:sz w:val="32"/>
          <w:szCs w:val="32"/>
          <w:highlight w:val="none"/>
          <w:lang w:eastAsia="en-US"/>
        </w:rPr>
        <w:t>战略合作的金融机构贵州银行合作发行，采用实体卡形式，具备专属卡面及定制化权益。</w:t>
      </w:r>
    </w:p>
    <w:p w14:paraId="343436D5">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楷体_GB2312" w:hAnsi="楷体_GB2312" w:eastAsia="楷体_GB2312" w:cs="楷体_GB2312"/>
          <w:snapToGrid w:val="0"/>
          <w:color w:val="000000"/>
          <w:kern w:val="0"/>
          <w:sz w:val="32"/>
          <w:szCs w:val="32"/>
          <w:highlight w:val="none"/>
          <w:lang w:val="en-US" w:eastAsia="zh-CN"/>
        </w:rPr>
      </w:pPr>
      <w:r>
        <w:rPr>
          <w:rFonts w:hint="eastAsia" w:ascii="楷体_GB2312" w:hAnsi="楷体_GB2312" w:eastAsia="楷体_GB2312" w:cs="楷体_GB2312"/>
          <w:snapToGrid w:val="0"/>
          <w:color w:val="000000"/>
          <w:kern w:val="0"/>
          <w:sz w:val="32"/>
          <w:szCs w:val="32"/>
          <w:highlight w:val="none"/>
          <w:lang w:val="en-US" w:eastAsia="zh-CN"/>
        </w:rPr>
        <w:t>第六条 发放方式</w:t>
      </w:r>
    </w:p>
    <w:p w14:paraId="0105A05E">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snapToGrid w:val="0"/>
          <w:color w:val="000000"/>
          <w:kern w:val="0"/>
          <w:sz w:val="32"/>
          <w:szCs w:val="32"/>
          <w:highlight w:val="none"/>
          <w:lang w:val="en-US" w:eastAsia="zh-CN"/>
        </w:rPr>
      </w:pPr>
      <w:r>
        <w:rPr>
          <w:rFonts w:hint="eastAsia" w:ascii="仿宋_GB2312" w:hAnsi="仿宋_GB2312" w:eastAsia="仿宋_GB2312" w:cs="仿宋_GB2312"/>
          <w:snapToGrid w:val="0"/>
          <w:color w:val="000000"/>
          <w:kern w:val="0"/>
          <w:sz w:val="32"/>
          <w:szCs w:val="32"/>
          <w:highlight w:val="none"/>
          <w:lang w:eastAsia="zh-CN"/>
        </w:rPr>
        <w:t>工会会员服务卡</w:t>
      </w:r>
      <w:r>
        <w:rPr>
          <w:rFonts w:hint="eastAsia" w:ascii="仿宋_GB2312" w:hAnsi="仿宋_GB2312" w:eastAsia="仿宋_GB2312" w:cs="仿宋_GB2312"/>
          <w:snapToGrid w:val="0"/>
          <w:color w:val="000000"/>
          <w:kern w:val="0"/>
          <w:sz w:val="32"/>
          <w:szCs w:val="32"/>
          <w:highlight w:val="none"/>
          <w:lang w:eastAsia="en-US"/>
        </w:rPr>
        <w:t>由贵州银行</w:t>
      </w:r>
      <w:r>
        <w:rPr>
          <w:rFonts w:hint="eastAsia" w:ascii="仿宋_GB2312" w:hAnsi="仿宋_GB2312" w:eastAsia="仿宋_GB2312" w:cs="仿宋_GB2312"/>
          <w:snapToGrid w:val="0"/>
          <w:color w:val="000000"/>
          <w:kern w:val="0"/>
          <w:sz w:val="32"/>
          <w:szCs w:val="32"/>
          <w:highlight w:val="none"/>
          <w:lang w:val="en-US" w:eastAsia="zh-CN"/>
        </w:rPr>
        <w:t>按照校工会提供的工会会员名单及有关要求制作并发放。</w:t>
      </w:r>
    </w:p>
    <w:p w14:paraId="3E05FF4B">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楷体_GB2312" w:hAnsi="楷体_GB2312" w:eastAsia="楷体_GB2312" w:cs="楷体_GB2312"/>
          <w:snapToGrid w:val="0"/>
          <w:color w:val="000000"/>
          <w:kern w:val="0"/>
          <w:sz w:val="32"/>
          <w:szCs w:val="32"/>
          <w:highlight w:val="none"/>
          <w:lang w:eastAsia="en-US"/>
        </w:rPr>
      </w:pPr>
      <w:r>
        <w:rPr>
          <w:rFonts w:hint="eastAsia" w:ascii="楷体_GB2312" w:hAnsi="楷体_GB2312" w:eastAsia="楷体_GB2312" w:cs="楷体_GB2312"/>
          <w:snapToGrid w:val="0"/>
          <w:color w:val="000000"/>
          <w:kern w:val="0"/>
          <w:sz w:val="32"/>
          <w:szCs w:val="32"/>
          <w:highlight w:val="none"/>
          <w:lang w:eastAsia="en-US"/>
        </w:rPr>
        <w:t>第</w:t>
      </w:r>
      <w:r>
        <w:rPr>
          <w:rFonts w:hint="eastAsia" w:ascii="楷体_GB2312" w:hAnsi="楷体_GB2312" w:eastAsia="楷体_GB2312" w:cs="楷体_GB2312"/>
          <w:snapToGrid w:val="0"/>
          <w:color w:val="000000"/>
          <w:kern w:val="0"/>
          <w:sz w:val="32"/>
          <w:szCs w:val="32"/>
          <w:highlight w:val="none"/>
          <w:lang w:val="en-US" w:eastAsia="zh-CN"/>
        </w:rPr>
        <w:t>七</w:t>
      </w:r>
      <w:r>
        <w:rPr>
          <w:rFonts w:hint="eastAsia" w:ascii="楷体_GB2312" w:hAnsi="楷体_GB2312" w:eastAsia="楷体_GB2312" w:cs="楷体_GB2312"/>
          <w:snapToGrid w:val="0"/>
          <w:color w:val="000000"/>
          <w:kern w:val="0"/>
          <w:sz w:val="32"/>
          <w:szCs w:val="32"/>
          <w:highlight w:val="none"/>
          <w:lang w:eastAsia="en-US"/>
        </w:rPr>
        <w:t>条 激活与查询</w:t>
      </w:r>
    </w:p>
    <w:p w14:paraId="7EF6534C">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eastAsia="en-US"/>
        </w:rPr>
        <w:t>贵州银行各经办机构</w:t>
      </w:r>
      <w:r>
        <w:rPr>
          <w:rFonts w:hint="eastAsia" w:ascii="仿宋_GB2312" w:hAnsi="仿宋_GB2312" w:eastAsia="仿宋_GB2312" w:cs="仿宋_GB2312"/>
          <w:snapToGrid w:val="0"/>
          <w:color w:val="000000"/>
          <w:kern w:val="0"/>
          <w:sz w:val="32"/>
          <w:szCs w:val="32"/>
          <w:highlight w:val="none"/>
          <w:lang w:val="en-US" w:eastAsia="zh-CN"/>
        </w:rPr>
        <w:t>到校工会</w:t>
      </w:r>
      <w:r>
        <w:rPr>
          <w:rFonts w:hint="eastAsia" w:ascii="仿宋_GB2312" w:hAnsi="仿宋_GB2312" w:eastAsia="仿宋_GB2312" w:cs="仿宋_GB2312"/>
          <w:snapToGrid w:val="0"/>
          <w:color w:val="000000"/>
          <w:kern w:val="0"/>
          <w:sz w:val="32"/>
          <w:szCs w:val="32"/>
          <w:highlight w:val="none"/>
          <w:lang w:eastAsia="en-US"/>
        </w:rPr>
        <w:t>提供</w:t>
      </w:r>
      <w:r>
        <w:rPr>
          <w:rFonts w:hint="eastAsia" w:ascii="仿宋_GB2312" w:hAnsi="仿宋_GB2312" w:eastAsia="仿宋_GB2312" w:cs="仿宋_GB2312"/>
          <w:snapToGrid w:val="0"/>
          <w:color w:val="000000"/>
          <w:kern w:val="0"/>
          <w:sz w:val="32"/>
          <w:szCs w:val="32"/>
          <w:highlight w:val="none"/>
          <w:lang w:val="en-US" w:eastAsia="zh-CN"/>
        </w:rPr>
        <w:t>上门</w:t>
      </w:r>
      <w:r>
        <w:rPr>
          <w:rFonts w:hint="eastAsia" w:ascii="仿宋_GB2312" w:hAnsi="仿宋_GB2312" w:eastAsia="仿宋_GB2312" w:cs="仿宋_GB2312"/>
          <w:snapToGrid w:val="0"/>
          <w:color w:val="000000"/>
          <w:kern w:val="0"/>
          <w:sz w:val="32"/>
          <w:szCs w:val="32"/>
          <w:highlight w:val="none"/>
          <w:lang w:eastAsia="en-US"/>
        </w:rPr>
        <w:t>激活服务，激活后可实时查询卡内余额及交易记录。</w:t>
      </w:r>
    </w:p>
    <w:p w14:paraId="567F2AA6">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楷体_GB2312" w:hAnsi="楷体_GB2312" w:eastAsia="楷体_GB2312" w:cs="楷体_GB2312"/>
          <w:snapToGrid w:val="0"/>
          <w:color w:val="000000"/>
          <w:kern w:val="0"/>
          <w:sz w:val="32"/>
          <w:szCs w:val="32"/>
          <w:highlight w:val="none"/>
          <w:lang w:eastAsia="en-US"/>
        </w:rPr>
      </w:pPr>
      <w:r>
        <w:rPr>
          <w:rFonts w:hint="eastAsia" w:ascii="楷体_GB2312" w:hAnsi="楷体_GB2312" w:eastAsia="楷体_GB2312" w:cs="楷体_GB2312"/>
          <w:snapToGrid w:val="0"/>
          <w:color w:val="000000"/>
          <w:kern w:val="0"/>
          <w:sz w:val="32"/>
          <w:szCs w:val="32"/>
          <w:highlight w:val="none"/>
          <w:lang w:eastAsia="en-US"/>
        </w:rPr>
        <w:t>第</w:t>
      </w:r>
      <w:r>
        <w:rPr>
          <w:rFonts w:hint="eastAsia" w:ascii="楷体_GB2312" w:hAnsi="楷体_GB2312" w:eastAsia="楷体_GB2312" w:cs="楷体_GB2312"/>
          <w:snapToGrid w:val="0"/>
          <w:color w:val="000000"/>
          <w:kern w:val="0"/>
          <w:sz w:val="32"/>
          <w:szCs w:val="32"/>
          <w:highlight w:val="none"/>
          <w:lang w:val="en-US" w:eastAsia="zh-CN"/>
        </w:rPr>
        <w:t>八</w:t>
      </w:r>
      <w:r>
        <w:rPr>
          <w:rFonts w:hint="eastAsia" w:ascii="楷体_GB2312" w:hAnsi="楷体_GB2312" w:eastAsia="楷体_GB2312" w:cs="楷体_GB2312"/>
          <w:snapToGrid w:val="0"/>
          <w:color w:val="000000"/>
          <w:kern w:val="0"/>
          <w:sz w:val="32"/>
          <w:szCs w:val="32"/>
          <w:highlight w:val="none"/>
          <w:lang w:eastAsia="en-US"/>
        </w:rPr>
        <w:t>条 消费场景</w:t>
      </w:r>
    </w:p>
    <w:p w14:paraId="14482E03">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val="en-US" w:eastAsia="zh-CN"/>
        </w:rPr>
      </w:pPr>
      <w:r>
        <w:rPr>
          <w:rFonts w:hint="eastAsia" w:ascii="仿宋_GB2312" w:hAnsi="仿宋_GB2312" w:eastAsia="仿宋_GB2312" w:cs="仿宋_GB2312"/>
          <w:snapToGrid w:val="0"/>
          <w:color w:val="000000"/>
          <w:kern w:val="0"/>
          <w:sz w:val="32"/>
          <w:szCs w:val="32"/>
          <w:highlight w:val="none"/>
          <w:lang w:val="en-US" w:eastAsia="zh-CN"/>
        </w:rPr>
        <w:t>员工可持工会会员服务卡通过线上线下等方式进行消费使用，消费不限制场景，消费优先使用卡内慰问金。</w:t>
      </w:r>
    </w:p>
    <w:p w14:paraId="387495CA">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val="en-US" w:eastAsia="zh-CN"/>
        </w:rPr>
        <w:t>员工可参与贵州银行与各级地方工会联合不定期开展的各类工会会员服务卡普惠活动。</w:t>
      </w:r>
    </w:p>
    <w:p w14:paraId="50C3A085">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楷体_GB2312" w:hAnsi="楷体_GB2312" w:eastAsia="楷体_GB2312" w:cs="楷体_GB2312"/>
          <w:snapToGrid w:val="0"/>
          <w:color w:val="000000"/>
          <w:kern w:val="0"/>
          <w:sz w:val="32"/>
          <w:szCs w:val="32"/>
          <w:highlight w:val="none"/>
          <w:lang w:eastAsia="en-US"/>
        </w:rPr>
      </w:pPr>
      <w:r>
        <w:rPr>
          <w:rFonts w:hint="eastAsia" w:ascii="楷体_GB2312" w:hAnsi="楷体_GB2312" w:eastAsia="楷体_GB2312" w:cs="楷体_GB2312"/>
          <w:snapToGrid w:val="0"/>
          <w:color w:val="000000"/>
          <w:kern w:val="0"/>
          <w:sz w:val="32"/>
          <w:szCs w:val="32"/>
          <w:highlight w:val="none"/>
          <w:lang w:eastAsia="en-US"/>
        </w:rPr>
        <w:t>第</w:t>
      </w:r>
      <w:r>
        <w:rPr>
          <w:rFonts w:hint="eastAsia" w:ascii="楷体_GB2312" w:hAnsi="楷体_GB2312" w:eastAsia="楷体_GB2312" w:cs="楷体_GB2312"/>
          <w:snapToGrid w:val="0"/>
          <w:color w:val="000000"/>
          <w:kern w:val="0"/>
          <w:sz w:val="32"/>
          <w:szCs w:val="32"/>
          <w:highlight w:val="none"/>
          <w:lang w:val="en-US" w:eastAsia="zh-CN"/>
        </w:rPr>
        <w:t>九</w:t>
      </w:r>
      <w:r>
        <w:rPr>
          <w:rFonts w:hint="eastAsia" w:ascii="楷体_GB2312" w:hAnsi="楷体_GB2312" w:eastAsia="楷体_GB2312" w:cs="楷体_GB2312"/>
          <w:snapToGrid w:val="0"/>
          <w:color w:val="000000"/>
          <w:kern w:val="0"/>
          <w:sz w:val="32"/>
          <w:szCs w:val="32"/>
          <w:highlight w:val="none"/>
          <w:lang w:eastAsia="en-US"/>
        </w:rPr>
        <w:t>条 工会职责</w:t>
      </w:r>
    </w:p>
    <w:p w14:paraId="6C2B5CB8">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val="en-US" w:eastAsia="zh-CN"/>
        </w:rPr>
      </w:pPr>
      <w:r>
        <w:rPr>
          <w:rFonts w:hint="eastAsia" w:ascii="仿宋_GB2312" w:hAnsi="仿宋_GB2312" w:eastAsia="仿宋_GB2312" w:cs="仿宋_GB2312"/>
          <w:snapToGrid w:val="0"/>
          <w:color w:val="000000"/>
          <w:kern w:val="0"/>
          <w:sz w:val="32"/>
          <w:szCs w:val="32"/>
          <w:highlight w:val="none"/>
          <w:lang w:eastAsia="en-US"/>
        </w:rPr>
        <w:t>1.合作管理：</w:t>
      </w:r>
      <w:r>
        <w:rPr>
          <w:rFonts w:hint="eastAsia" w:ascii="仿宋_GB2312" w:hAnsi="仿宋_GB2312" w:eastAsia="仿宋_GB2312" w:cs="仿宋_GB2312"/>
          <w:snapToGrid w:val="0"/>
          <w:color w:val="000000"/>
          <w:kern w:val="0"/>
          <w:sz w:val="32"/>
          <w:szCs w:val="32"/>
          <w:highlight w:val="none"/>
          <w:lang w:val="en-US" w:eastAsia="zh-CN"/>
        </w:rPr>
        <w:t>校工会</w:t>
      </w:r>
      <w:r>
        <w:rPr>
          <w:rFonts w:hint="eastAsia" w:ascii="仿宋_GB2312" w:hAnsi="仿宋_GB2312" w:eastAsia="仿宋_GB2312" w:cs="仿宋_GB2312"/>
          <w:snapToGrid w:val="0"/>
          <w:color w:val="000000"/>
          <w:kern w:val="0"/>
          <w:sz w:val="32"/>
          <w:szCs w:val="32"/>
          <w:highlight w:val="none"/>
          <w:lang w:eastAsia="en-US"/>
        </w:rPr>
        <w:t>负责与金融机构签订协议，</w:t>
      </w:r>
      <w:r>
        <w:rPr>
          <w:rFonts w:hint="eastAsia" w:ascii="仿宋_GB2312" w:hAnsi="仿宋_GB2312" w:eastAsia="仿宋_GB2312" w:cs="仿宋_GB2312"/>
          <w:snapToGrid w:val="0"/>
          <w:color w:val="000000"/>
          <w:kern w:val="0"/>
          <w:sz w:val="32"/>
          <w:szCs w:val="32"/>
          <w:highlight w:val="none"/>
          <w:lang w:val="en-US" w:eastAsia="zh-CN"/>
        </w:rPr>
        <w:t>各工会小组负责按照金融机构批量开卡相关工作要求提供相应资料</w:t>
      </w:r>
      <w:r>
        <w:rPr>
          <w:rFonts w:hint="eastAsia" w:ascii="仿宋_GB2312" w:hAnsi="仿宋_GB2312" w:eastAsia="仿宋_GB2312" w:cs="仿宋_GB2312"/>
          <w:snapToGrid w:val="0"/>
          <w:color w:val="000000"/>
          <w:kern w:val="0"/>
          <w:sz w:val="32"/>
          <w:szCs w:val="32"/>
          <w:highlight w:val="none"/>
          <w:lang w:eastAsia="zh-CN"/>
        </w:rPr>
        <w:t>。</w:t>
      </w:r>
    </w:p>
    <w:p w14:paraId="5E1796DB">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val="en-US" w:eastAsia="zh-CN"/>
        </w:rPr>
      </w:pPr>
      <w:r>
        <w:rPr>
          <w:rFonts w:hint="eastAsia" w:ascii="仿宋_GB2312" w:hAnsi="仿宋_GB2312" w:eastAsia="仿宋_GB2312" w:cs="仿宋_GB2312"/>
          <w:snapToGrid w:val="0"/>
          <w:color w:val="000000"/>
          <w:kern w:val="0"/>
          <w:sz w:val="32"/>
          <w:szCs w:val="32"/>
          <w:highlight w:val="none"/>
          <w:lang w:eastAsia="en-US"/>
        </w:rPr>
        <w:t>2.资金管理：节日慰问费用严格执行</w:t>
      </w:r>
      <w:r>
        <w:rPr>
          <w:rFonts w:hint="eastAsia" w:ascii="仿宋_GB2312" w:hAnsi="仿宋_GB2312" w:eastAsia="仿宋_GB2312" w:cs="仿宋_GB2312"/>
          <w:snapToGrid w:val="0"/>
          <w:color w:val="000000"/>
          <w:kern w:val="0"/>
          <w:sz w:val="32"/>
          <w:szCs w:val="32"/>
          <w:highlight w:val="none"/>
          <w:lang w:val="en-US" w:eastAsia="zh-CN"/>
        </w:rPr>
        <w:t>茅台学院工会</w:t>
      </w:r>
      <w:r>
        <w:rPr>
          <w:rFonts w:hint="eastAsia" w:ascii="仿宋_GB2312" w:hAnsi="仿宋_GB2312" w:eastAsia="仿宋_GB2312" w:cs="仿宋_GB2312"/>
          <w:snapToGrid w:val="0"/>
          <w:color w:val="000000"/>
          <w:kern w:val="0"/>
          <w:sz w:val="32"/>
          <w:szCs w:val="32"/>
          <w:highlight w:val="none"/>
          <w:lang w:eastAsia="en-US"/>
        </w:rPr>
        <w:t>预算</w:t>
      </w:r>
      <w:r>
        <w:rPr>
          <w:rFonts w:hint="eastAsia" w:ascii="仿宋_GB2312" w:hAnsi="仿宋_GB2312" w:eastAsia="仿宋_GB2312" w:cs="仿宋_GB2312"/>
          <w:snapToGrid w:val="0"/>
          <w:color w:val="000000"/>
          <w:kern w:val="0"/>
          <w:sz w:val="32"/>
          <w:szCs w:val="32"/>
          <w:highlight w:val="none"/>
          <w:lang w:val="en-US" w:eastAsia="zh-CN"/>
        </w:rPr>
        <w:t>相关规定</w:t>
      </w:r>
      <w:r>
        <w:rPr>
          <w:rFonts w:hint="eastAsia" w:ascii="仿宋_GB2312" w:hAnsi="仿宋_GB2312" w:eastAsia="仿宋_GB2312" w:cs="仿宋_GB2312"/>
          <w:snapToGrid w:val="0"/>
          <w:color w:val="000000"/>
          <w:kern w:val="0"/>
          <w:sz w:val="32"/>
          <w:szCs w:val="32"/>
          <w:highlight w:val="none"/>
          <w:lang w:eastAsia="en-US"/>
        </w:rPr>
        <w:t>，经经费审查委员会审核</w:t>
      </w:r>
      <w:r>
        <w:rPr>
          <w:rFonts w:hint="eastAsia" w:ascii="仿宋_GB2312" w:hAnsi="仿宋_GB2312" w:eastAsia="仿宋_GB2312" w:cs="仿宋_GB2312"/>
          <w:snapToGrid w:val="0"/>
          <w:color w:val="000000"/>
          <w:kern w:val="0"/>
          <w:sz w:val="32"/>
          <w:szCs w:val="32"/>
          <w:highlight w:val="none"/>
          <w:lang w:val="en-US" w:eastAsia="zh-CN"/>
        </w:rPr>
        <w:t>等程序</w:t>
      </w:r>
      <w:r>
        <w:rPr>
          <w:rFonts w:hint="eastAsia" w:ascii="仿宋_GB2312" w:hAnsi="仿宋_GB2312" w:eastAsia="仿宋_GB2312" w:cs="仿宋_GB2312"/>
          <w:snapToGrid w:val="0"/>
          <w:color w:val="000000"/>
          <w:kern w:val="0"/>
          <w:sz w:val="32"/>
          <w:szCs w:val="32"/>
          <w:highlight w:val="none"/>
          <w:lang w:eastAsia="en-US"/>
        </w:rPr>
        <w:t>后使用</w:t>
      </w:r>
      <w:r>
        <w:rPr>
          <w:rFonts w:hint="eastAsia" w:ascii="仿宋_GB2312" w:hAnsi="仿宋_GB2312" w:eastAsia="仿宋_GB2312" w:cs="仿宋_GB2312"/>
          <w:snapToGrid w:val="0"/>
          <w:color w:val="000000"/>
          <w:kern w:val="0"/>
          <w:sz w:val="32"/>
          <w:szCs w:val="32"/>
          <w:highlight w:val="none"/>
          <w:lang w:eastAsia="zh-CN"/>
        </w:rPr>
        <w:t>，</w:t>
      </w:r>
      <w:r>
        <w:rPr>
          <w:rFonts w:hint="eastAsia" w:ascii="仿宋_GB2312" w:hAnsi="仿宋_GB2312" w:eastAsia="仿宋_GB2312" w:cs="仿宋_GB2312"/>
          <w:snapToGrid w:val="0"/>
          <w:color w:val="000000"/>
          <w:kern w:val="0"/>
          <w:sz w:val="32"/>
          <w:szCs w:val="32"/>
          <w:highlight w:val="none"/>
          <w:lang w:val="en-US" w:eastAsia="zh-CN"/>
        </w:rPr>
        <w:t>并接受</w:t>
      </w:r>
      <w:r>
        <w:rPr>
          <w:rFonts w:hint="eastAsia" w:ascii="仿宋_GB2312" w:hAnsi="仿宋_GB2312" w:eastAsia="仿宋_GB2312" w:cs="仿宋_GB2312"/>
          <w:snapToGrid w:val="0"/>
          <w:color w:val="000000"/>
          <w:kern w:val="0"/>
          <w:sz w:val="32"/>
          <w:szCs w:val="32"/>
          <w:highlight w:val="none"/>
          <w:lang w:eastAsia="en-US"/>
        </w:rPr>
        <w:t>经费审查委员会</w:t>
      </w:r>
      <w:r>
        <w:rPr>
          <w:rFonts w:hint="eastAsia" w:ascii="仿宋_GB2312" w:hAnsi="仿宋_GB2312" w:eastAsia="仿宋_GB2312" w:cs="仿宋_GB2312"/>
          <w:snapToGrid w:val="0"/>
          <w:color w:val="000000"/>
          <w:kern w:val="0"/>
          <w:sz w:val="32"/>
          <w:szCs w:val="32"/>
          <w:highlight w:val="none"/>
          <w:lang w:val="en-US" w:eastAsia="zh-CN"/>
        </w:rPr>
        <w:t>监督。</w:t>
      </w:r>
    </w:p>
    <w:p w14:paraId="721F4494">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val="en-US" w:eastAsia="zh-CN"/>
        </w:rPr>
      </w:pPr>
      <w:r>
        <w:rPr>
          <w:rFonts w:hint="eastAsia" w:ascii="仿宋_GB2312" w:hAnsi="仿宋_GB2312" w:eastAsia="仿宋_GB2312" w:cs="仿宋_GB2312"/>
          <w:snapToGrid w:val="0"/>
          <w:color w:val="000000"/>
          <w:kern w:val="0"/>
          <w:sz w:val="32"/>
          <w:szCs w:val="32"/>
          <w:highlight w:val="none"/>
          <w:lang w:val="en-US" w:eastAsia="zh-CN"/>
        </w:rPr>
        <w:t>3.发放管理：各工会小组负责核实会员信息，校工会及时发放慰问金。</w:t>
      </w:r>
    </w:p>
    <w:p w14:paraId="5EC708A6">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val="en-US" w:eastAsia="zh-CN"/>
        </w:rPr>
      </w:pPr>
      <w:r>
        <w:rPr>
          <w:rFonts w:hint="eastAsia" w:ascii="仿宋_GB2312" w:hAnsi="仿宋_GB2312" w:eastAsia="仿宋_GB2312" w:cs="仿宋_GB2312"/>
          <w:snapToGrid w:val="0"/>
          <w:color w:val="000000"/>
          <w:kern w:val="0"/>
          <w:sz w:val="32"/>
          <w:szCs w:val="32"/>
          <w:highlight w:val="none"/>
          <w:lang w:eastAsia="en-US"/>
        </w:rPr>
        <w:t>第</w:t>
      </w:r>
      <w:r>
        <w:rPr>
          <w:rFonts w:hint="eastAsia" w:ascii="仿宋_GB2312" w:hAnsi="仿宋_GB2312" w:eastAsia="仿宋_GB2312" w:cs="仿宋_GB2312"/>
          <w:snapToGrid w:val="0"/>
          <w:color w:val="000000"/>
          <w:kern w:val="0"/>
          <w:sz w:val="32"/>
          <w:szCs w:val="32"/>
          <w:highlight w:val="none"/>
          <w:lang w:val="en-US" w:eastAsia="zh-CN"/>
        </w:rPr>
        <w:t>十</w:t>
      </w:r>
      <w:r>
        <w:rPr>
          <w:rFonts w:hint="eastAsia" w:ascii="仿宋_GB2312" w:hAnsi="仿宋_GB2312" w:eastAsia="仿宋_GB2312" w:cs="仿宋_GB2312"/>
          <w:snapToGrid w:val="0"/>
          <w:color w:val="000000"/>
          <w:kern w:val="0"/>
          <w:sz w:val="32"/>
          <w:szCs w:val="32"/>
          <w:highlight w:val="none"/>
          <w:lang w:eastAsia="en-US"/>
        </w:rPr>
        <w:t xml:space="preserve">条 </w:t>
      </w:r>
      <w:r>
        <w:rPr>
          <w:rFonts w:hint="eastAsia" w:ascii="仿宋_GB2312" w:hAnsi="仿宋_GB2312" w:eastAsia="仿宋_GB2312" w:cs="仿宋_GB2312"/>
          <w:snapToGrid w:val="0"/>
          <w:color w:val="000000"/>
          <w:kern w:val="0"/>
          <w:sz w:val="32"/>
          <w:szCs w:val="32"/>
          <w:highlight w:val="none"/>
          <w:lang w:val="en-US" w:eastAsia="zh-CN"/>
        </w:rPr>
        <w:t>人力资源部门职责</w:t>
      </w:r>
    </w:p>
    <w:p w14:paraId="408E16C3">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val="en-US" w:eastAsia="zh-CN"/>
        </w:rPr>
      </w:pPr>
      <w:r>
        <w:rPr>
          <w:rFonts w:hint="eastAsia" w:ascii="仿宋_GB2312" w:hAnsi="仿宋_GB2312" w:eastAsia="仿宋_GB2312" w:cs="仿宋_GB2312"/>
          <w:snapToGrid w:val="0"/>
          <w:color w:val="000000"/>
          <w:kern w:val="0"/>
          <w:sz w:val="32"/>
          <w:szCs w:val="32"/>
          <w:highlight w:val="none"/>
          <w:lang w:val="en-US" w:eastAsia="zh-CN"/>
        </w:rPr>
        <w:t>1.信息维护：人力资源部需根据员工的变动情况及时更新员工花名册，即：新入职、调入、停发工资（含调出、辞职、退休、死亡等情况），保证向校工会提供的员工花名册的精准性与及时性。</w:t>
      </w:r>
    </w:p>
    <w:p w14:paraId="327E5271">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val="en-US" w:eastAsia="zh-CN"/>
        </w:rPr>
      </w:pPr>
      <w:r>
        <w:rPr>
          <w:rFonts w:hint="eastAsia" w:ascii="仿宋_GB2312" w:hAnsi="仿宋_GB2312" w:eastAsia="仿宋_GB2312" w:cs="仿宋_GB2312"/>
          <w:snapToGrid w:val="0"/>
          <w:color w:val="000000"/>
          <w:kern w:val="0"/>
          <w:sz w:val="32"/>
          <w:szCs w:val="32"/>
          <w:highlight w:val="none"/>
          <w:lang w:val="en-US" w:eastAsia="zh-CN"/>
        </w:rPr>
        <w:t>2.信息提供：人力资源部在节日慰问前5个工作日内及时提供员工花名册，用于核实节日慰问的会员信息；在次月月初提供上月在职员工花名册，用于核实生日慰问的会员信息。</w:t>
      </w:r>
    </w:p>
    <w:p w14:paraId="7DAE6224">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val="en-US" w:eastAsia="zh-CN"/>
        </w:rPr>
        <w:t>第十一条 工会</w:t>
      </w:r>
      <w:r>
        <w:rPr>
          <w:rFonts w:hint="eastAsia" w:ascii="仿宋_GB2312" w:hAnsi="仿宋_GB2312" w:eastAsia="仿宋_GB2312" w:cs="仿宋_GB2312"/>
          <w:snapToGrid w:val="0"/>
          <w:color w:val="000000"/>
          <w:kern w:val="0"/>
          <w:sz w:val="32"/>
          <w:szCs w:val="32"/>
          <w:highlight w:val="none"/>
          <w:lang w:eastAsia="en-US"/>
        </w:rPr>
        <w:t>会员义务</w:t>
      </w:r>
    </w:p>
    <w:p w14:paraId="707A3D49">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eastAsia="en-US"/>
        </w:rPr>
        <w:t>1.妥善保管</w:t>
      </w:r>
      <w:r>
        <w:rPr>
          <w:rFonts w:hint="eastAsia" w:ascii="仿宋_GB2312" w:hAnsi="仿宋_GB2312" w:eastAsia="仿宋_GB2312" w:cs="仿宋_GB2312"/>
          <w:snapToGrid w:val="0"/>
          <w:color w:val="000000"/>
          <w:kern w:val="0"/>
          <w:sz w:val="32"/>
          <w:szCs w:val="32"/>
          <w:highlight w:val="none"/>
          <w:lang w:eastAsia="zh-CN"/>
        </w:rPr>
        <w:t>：</w:t>
      </w:r>
      <w:r>
        <w:rPr>
          <w:rFonts w:hint="eastAsia" w:ascii="仿宋_GB2312" w:hAnsi="仿宋_GB2312" w:eastAsia="仿宋_GB2312" w:cs="仿宋_GB2312"/>
          <w:snapToGrid w:val="0"/>
          <w:color w:val="000000"/>
          <w:kern w:val="0"/>
          <w:sz w:val="32"/>
          <w:szCs w:val="32"/>
          <w:highlight w:val="none"/>
          <w:lang w:val="en-US" w:eastAsia="zh-CN"/>
        </w:rPr>
        <w:t>工会</w:t>
      </w:r>
      <w:r>
        <w:rPr>
          <w:rFonts w:hint="eastAsia" w:ascii="仿宋_GB2312" w:hAnsi="仿宋_GB2312" w:eastAsia="仿宋_GB2312" w:cs="仿宋_GB2312"/>
          <w:snapToGrid w:val="0"/>
          <w:color w:val="000000"/>
          <w:kern w:val="0"/>
          <w:sz w:val="32"/>
          <w:szCs w:val="32"/>
          <w:highlight w:val="none"/>
          <w:lang w:eastAsia="en-US"/>
        </w:rPr>
        <w:t>会员应妥善保管</w:t>
      </w:r>
      <w:r>
        <w:rPr>
          <w:rFonts w:hint="eastAsia" w:ascii="仿宋_GB2312" w:hAnsi="仿宋_GB2312" w:eastAsia="仿宋_GB2312" w:cs="仿宋_GB2312"/>
          <w:snapToGrid w:val="0"/>
          <w:color w:val="000000"/>
          <w:kern w:val="0"/>
          <w:sz w:val="32"/>
          <w:szCs w:val="32"/>
          <w:highlight w:val="none"/>
          <w:lang w:eastAsia="zh-CN"/>
        </w:rPr>
        <w:t>工会会员服务卡</w:t>
      </w:r>
      <w:r>
        <w:rPr>
          <w:rFonts w:hint="eastAsia" w:ascii="仿宋_GB2312" w:hAnsi="仿宋_GB2312" w:eastAsia="仿宋_GB2312" w:cs="仿宋_GB2312"/>
          <w:snapToGrid w:val="0"/>
          <w:color w:val="000000"/>
          <w:kern w:val="0"/>
          <w:sz w:val="32"/>
          <w:szCs w:val="32"/>
          <w:highlight w:val="none"/>
          <w:lang w:eastAsia="en-US"/>
        </w:rPr>
        <w:t>，因遗失或密码泄露导致的损失由持卡人自行承担；</w:t>
      </w:r>
    </w:p>
    <w:p w14:paraId="7052CC1A">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snapToGrid w:val="0"/>
          <w:color w:val="000000"/>
          <w:kern w:val="0"/>
          <w:sz w:val="32"/>
          <w:szCs w:val="32"/>
          <w:highlight w:val="none"/>
          <w:lang w:val="en-US" w:eastAsia="zh-CN"/>
        </w:rPr>
      </w:pPr>
      <w:r>
        <w:rPr>
          <w:rFonts w:hint="eastAsia" w:ascii="仿宋_GB2312" w:hAnsi="仿宋_GB2312" w:eastAsia="仿宋_GB2312" w:cs="仿宋_GB2312"/>
          <w:snapToGrid w:val="0"/>
          <w:color w:val="000000"/>
          <w:kern w:val="0"/>
          <w:sz w:val="32"/>
          <w:szCs w:val="32"/>
          <w:highlight w:val="none"/>
          <w:lang w:eastAsia="en-US"/>
        </w:rPr>
        <w:t>2.合规使用：严格按本</w:t>
      </w:r>
      <w:r>
        <w:rPr>
          <w:rFonts w:hint="eastAsia" w:ascii="仿宋_GB2312" w:hAnsi="仿宋_GB2312" w:eastAsia="仿宋_GB2312" w:cs="仿宋_GB2312"/>
          <w:snapToGrid w:val="0"/>
          <w:color w:val="000000"/>
          <w:kern w:val="0"/>
          <w:sz w:val="32"/>
          <w:szCs w:val="32"/>
          <w:highlight w:val="none"/>
          <w:lang w:eastAsia="zh-CN"/>
        </w:rPr>
        <w:t>《</w:t>
      </w:r>
      <w:r>
        <w:rPr>
          <w:rFonts w:hint="eastAsia" w:ascii="仿宋_GB2312" w:hAnsi="仿宋_GB2312" w:eastAsia="仿宋_GB2312" w:cs="仿宋_GB2312"/>
          <w:snapToGrid w:val="0"/>
          <w:color w:val="000000"/>
          <w:kern w:val="0"/>
          <w:sz w:val="32"/>
          <w:szCs w:val="32"/>
          <w:highlight w:val="none"/>
          <w:lang w:val="en-US" w:eastAsia="zh-CN"/>
        </w:rPr>
        <w:t>细则</w:t>
      </w:r>
      <w:r>
        <w:rPr>
          <w:rFonts w:hint="eastAsia" w:ascii="仿宋_GB2312" w:hAnsi="仿宋_GB2312" w:eastAsia="仿宋_GB2312" w:cs="仿宋_GB2312"/>
          <w:snapToGrid w:val="0"/>
          <w:color w:val="000000"/>
          <w:kern w:val="0"/>
          <w:sz w:val="32"/>
          <w:szCs w:val="32"/>
          <w:highlight w:val="none"/>
          <w:lang w:eastAsia="zh-CN"/>
        </w:rPr>
        <w:t>》</w:t>
      </w:r>
      <w:r>
        <w:rPr>
          <w:rFonts w:hint="eastAsia" w:ascii="仿宋_GB2312" w:hAnsi="仿宋_GB2312" w:eastAsia="仿宋_GB2312" w:cs="仿宋_GB2312"/>
          <w:snapToGrid w:val="0"/>
          <w:color w:val="000000"/>
          <w:kern w:val="0"/>
          <w:sz w:val="32"/>
          <w:szCs w:val="32"/>
          <w:highlight w:val="none"/>
          <w:lang w:eastAsia="en-US"/>
        </w:rPr>
        <w:t>规定使用</w:t>
      </w:r>
      <w:r>
        <w:rPr>
          <w:rFonts w:hint="eastAsia" w:ascii="仿宋_GB2312" w:hAnsi="仿宋_GB2312" w:eastAsia="仿宋_GB2312" w:cs="仿宋_GB2312"/>
          <w:snapToGrid w:val="0"/>
          <w:color w:val="000000"/>
          <w:kern w:val="0"/>
          <w:sz w:val="32"/>
          <w:szCs w:val="32"/>
          <w:highlight w:val="none"/>
          <w:lang w:eastAsia="zh-CN"/>
        </w:rPr>
        <w:t>工会会员服务卡</w:t>
      </w:r>
      <w:r>
        <w:rPr>
          <w:rFonts w:hint="eastAsia" w:ascii="仿宋_GB2312" w:hAnsi="仿宋_GB2312" w:eastAsia="仿宋_GB2312" w:cs="仿宋_GB2312"/>
          <w:snapToGrid w:val="0"/>
          <w:color w:val="000000"/>
          <w:kern w:val="0"/>
          <w:sz w:val="32"/>
          <w:szCs w:val="32"/>
          <w:highlight w:val="none"/>
          <w:lang w:eastAsia="en-US"/>
        </w:rPr>
        <w:t>，</w:t>
      </w:r>
      <w:r>
        <w:rPr>
          <w:rFonts w:hint="eastAsia" w:ascii="仿宋_GB2312" w:hAnsi="仿宋_GB2312" w:eastAsia="仿宋_GB2312" w:cs="仿宋_GB2312"/>
          <w:snapToGrid w:val="0"/>
          <w:color w:val="000000"/>
          <w:kern w:val="0"/>
          <w:sz w:val="32"/>
          <w:szCs w:val="32"/>
          <w:highlight w:val="none"/>
          <w:lang w:val="en-US" w:eastAsia="zh-CN"/>
        </w:rPr>
        <w:t>不予取现、转账，</w:t>
      </w:r>
      <w:r>
        <w:rPr>
          <w:rFonts w:hint="eastAsia" w:ascii="仿宋_GB2312" w:hAnsi="仿宋_GB2312" w:eastAsia="仿宋_GB2312" w:cs="仿宋_GB2312"/>
          <w:snapToGrid w:val="0"/>
          <w:color w:val="000000"/>
          <w:kern w:val="0"/>
          <w:sz w:val="32"/>
          <w:szCs w:val="32"/>
          <w:highlight w:val="none"/>
          <w:lang w:eastAsia="en-US"/>
        </w:rPr>
        <w:t>不得套现、转卖</w:t>
      </w:r>
      <w:r>
        <w:rPr>
          <w:rFonts w:hint="eastAsia" w:ascii="仿宋_GB2312" w:hAnsi="仿宋_GB2312" w:eastAsia="仿宋_GB2312" w:cs="仿宋_GB2312"/>
          <w:snapToGrid w:val="0"/>
          <w:color w:val="000000"/>
          <w:kern w:val="0"/>
          <w:sz w:val="32"/>
          <w:szCs w:val="32"/>
          <w:highlight w:val="none"/>
          <w:lang w:val="en-US" w:eastAsia="zh-CN"/>
        </w:rPr>
        <w:t>。</w:t>
      </w:r>
    </w:p>
    <w:p w14:paraId="6D8F3369">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eastAsia="en-US"/>
        </w:rPr>
        <w:t>第十</w:t>
      </w:r>
      <w:r>
        <w:rPr>
          <w:rFonts w:hint="eastAsia" w:ascii="仿宋_GB2312" w:hAnsi="仿宋_GB2312" w:eastAsia="仿宋_GB2312" w:cs="仿宋_GB2312"/>
          <w:snapToGrid w:val="0"/>
          <w:color w:val="000000"/>
          <w:kern w:val="0"/>
          <w:sz w:val="32"/>
          <w:szCs w:val="32"/>
          <w:highlight w:val="none"/>
          <w:lang w:val="en-US" w:eastAsia="zh-CN"/>
        </w:rPr>
        <w:t>二</w:t>
      </w:r>
      <w:r>
        <w:rPr>
          <w:rFonts w:hint="eastAsia" w:ascii="仿宋_GB2312" w:hAnsi="仿宋_GB2312" w:eastAsia="仿宋_GB2312" w:cs="仿宋_GB2312"/>
          <w:snapToGrid w:val="0"/>
          <w:color w:val="000000"/>
          <w:kern w:val="0"/>
          <w:sz w:val="32"/>
          <w:szCs w:val="32"/>
          <w:highlight w:val="none"/>
          <w:lang w:eastAsia="en-US"/>
        </w:rPr>
        <w:t>条 违规处理</w:t>
      </w:r>
    </w:p>
    <w:p w14:paraId="4D2932CE">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val="en-US" w:eastAsia="zh-CN"/>
        </w:rPr>
      </w:pPr>
      <w:r>
        <w:rPr>
          <w:rFonts w:hint="eastAsia" w:ascii="仿宋_GB2312" w:hAnsi="仿宋_GB2312" w:eastAsia="仿宋_GB2312" w:cs="仿宋_GB2312"/>
          <w:snapToGrid w:val="0"/>
          <w:color w:val="000000"/>
          <w:kern w:val="0"/>
          <w:sz w:val="32"/>
          <w:szCs w:val="32"/>
          <w:highlight w:val="none"/>
          <w:lang w:eastAsia="en-US"/>
        </w:rPr>
        <w:t>违反会员</w:t>
      </w:r>
      <w:r>
        <w:rPr>
          <w:rFonts w:hint="eastAsia" w:ascii="仿宋_GB2312" w:hAnsi="仿宋_GB2312" w:eastAsia="仿宋_GB2312" w:cs="仿宋_GB2312"/>
          <w:snapToGrid w:val="0"/>
          <w:color w:val="000000"/>
          <w:kern w:val="0"/>
          <w:sz w:val="32"/>
          <w:szCs w:val="32"/>
          <w:highlight w:val="none"/>
          <w:lang w:val="en-US" w:eastAsia="zh-CN"/>
        </w:rPr>
        <w:t>义务的</w:t>
      </w:r>
      <w:r>
        <w:rPr>
          <w:rFonts w:hint="eastAsia" w:ascii="仿宋_GB2312" w:hAnsi="仿宋_GB2312" w:eastAsia="仿宋_GB2312" w:cs="仿宋_GB2312"/>
          <w:snapToGrid w:val="0"/>
          <w:color w:val="000000"/>
          <w:kern w:val="0"/>
          <w:sz w:val="32"/>
          <w:szCs w:val="32"/>
          <w:highlight w:val="none"/>
          <w:lang w:eastAsia="en-US"/>
        </w:rPr>
        <w:t>，</w:t>
      </w:r>
      <w:r>
        <w:rPr>
          <w:rFonts w:hint="eastAsia" w:ascii="仿宋_GB2312" w:hAnsi="仿宋_GB2312" w:eastAsia="仿宋_GB2312" w:cs="仿宋_GB2312"/>
          <w:snapToGrid w:val="0"/>
          <w:color w:val="000000"/>
          <w:kern w:val="0"/>
          <w:sz w:val="32"/>
          <w:szCs w:val="32"/>
          <w:highlight w:val="none"/>
          <w:lang w:val="en-US" w:eastAsia="zh-CN"/>
        </w:rPr>
        <w:t>校工会</w:t>
      </w:r>
      <w:r>
        <w:rPr>
          <w:rFonts w:hint="eastAsia" w:ascii="仿宋_GB2312" w:hAnsi="仿宋_GB2312" w:eastAsia="仿宋_GB2312" w:cs="仿宋_GB2312"/>
          <w:snapToGrid w:val="0"/>
          <w:color w:val="000000"/>
          <w:kern w:val="0"/>
          <w:sz w:val="32"/>
          <w:szCs w:val="32"/>
          <w:highlight w:val="none"/>
          <w:lang w:eastAsia="en-US"/>
        </w:rPr>
        <w:t>将视情节轻重采取</w:t>
      </w:r>
      <w:r>
        <w:rPr>
          <w:rFonts w:hint="eastAsia" w:ascii="仿宋_GB2312" w:hAnsi="仿宋_GB2312" w:eastAsia="仿宋_GB2312" w:cs="仿宋_GB2312"/>
          <w:snapToGrid w:val="0"/>
          <w:color w:val="000000"/>
          <w:kern w:val="0"/>
          <w:sz w:val="32"/>
          <w:szCs w:val="32"/>
          <w:highlight w:val="none"/>
          <w:lang w:val="en-US" w:eastAsia="zh-CN"/>
        </w:rPr>
        <w:t>通报批评、</w:t>
      </w:r>
      <w:r>
        <w:rPr>
          <w:rFonts w:hint="eastAsia" w:ascii="仿宋_GB2312" w:hAnsi="仿宋_GB2312" w:eastAsia="仿宋_GB2312" w:cs="仿宋_GB2312"/>
          <w:snapToGrid w:val="0"/>
          <w:color w:val="000000"/>
          <w:kern w:val="0"/>
          <w:sz w:val="32"/>
          <w:szCs w:val="32"/>
          <w:highlight w:val="none"/>
          <w:lang w:eastAsia="en-US"/>
        </w:rPr>
        <w:t>暂停</w:t>
      </w:r>
      <w:r>
        <w:rPr>
          <w:rFonts w:hint="eastAsia" w:ascii="仿宋_GB2312" w:hAnsi="仿宋_GB2312" w:eastAsia="仿宋_GB2312" w:cs="仿宋_GB2312"/>
          <w:snapToGrid w:val="0"/>
          <w:color w:val="000000"/>
          <w:kern w:val="0"/>
          <w:sz w:val="32"/>
          <w:szCs w:val="32"/>
          <w:highlight w:val="none"/>
          <w:lang w:val="en-US" w:eastAsia="zh-CN"/>
        </w:rPr>
        <w:t>或取消</w:t>
      </w:r>
      <w:r>
        <w:rPr>
          <w:rFonts w:hint="eastAsia" w:ascii="仿宋_GB2312" w:hAnsi="仿宋_GB2312" w:eastAsia="仿宋_GB2312" w:cs="仿宋_GB2312"/>
          <w:snapToGrid w:val="0"/>
          <w:color w:val="000000"/>
          <w:kern w:val="0"/>
          <w:sz w:val="32"/>
          <w:szCs w:val="32"/>
          <w:highlight w:val="none"/>
          <w:lang w:eastAsia="zh-CN"/>
        </w:rPr>
        <w:t>工会会员服务卡</w:t>
      </w:r>
      <w:r>
        <w:rPr>
          <w:rFonts w:hint="eastAsia" w:ascii="仿宋_GB2312" w:hAnsi="仿宋_GB2312" w:eastAsia="仿宋_GB2312" w:cs="仿宋_GB2312"/>
          <w:snapToGrid w:val="0"/>
          <w:color w:val="000000"/>
          <w:kern w:val="0"/>
          <w:sz w:val="32"/>
          <w:szCs w:val="32"/>
          <w:highlight w:val="none"/>
          <w:lang w:eastAsia="en-US"/>
        </w:rPr>
        <w:t>使用等措施</w:t>
      </w:r>
      <w:r>
        <w:rPr>
          <w:rFonts w:hint="eastAsia" w:ascii="仿宋_GB2312" w:hAnsi="仿宋_GB2312" w:eastAsia="仿宋_GB2312" w:cs="仿宋_GB2312"/>
          <w:snapToGrid w:val="0"/>
          <w:color w:val="000000"/>
          <w:kern w:val="0"/>
          <w:sz w:val="32"/>
          <w:szCs w:val="32"/>
          <w:highlight w:val="none"/>
          <w:lang w:eastAsia="zh-CN"/>
        </w:rPr>
        <w:t>；</w:t>
      </w:r>
      <w:r>
        <w:rPr>
          <w:rFonts w:hint="eastAsia" w:ascii="仿宋_GB2312" w:hAnsi="仿宋_GB2312" w:eastAsia="仿宋_GB2312" w:cs="仿宋_GB2312"/>
          <w:snapToGrid w:val="0"/>
          <w:color w:val="000000"/>
          <w:kern w:val="0"/>
          <w:sz w:val="32"/>
          <w:szCs w:val="32"/>
          <w:highlight w:val="none"/>
          <w:lang w:val="en-US" w:eastAsia="zh-CN"/>
        </w:rPr>
        <w:t>涉嫌违规违纪违法的，按权限移送纪检监察机构、司法机关等单位处置。</w:t>
      </w:r>
    </w:p>
    <w:p w14:paraId="1C1B1323">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val="en-US" w:eastAsia="zh-CN"/>
        </w:rPr>
      </w:pPr>
    </w:p>
    <w:p w14:paraId="3EA4767E">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val="en-US" w:eastAsia="zh-CN"/>
        </w:rPr>
      </w:pPr>
    </w:p>
    <w:p w14:paraId="37CFF75E">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val="en-US" w:eastAsia="zh-CN"/>
        </w:rPr>
      </w:pPr>
    </w:p>
    <w:p w14:paraId="69870DD0">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val="en-US" w:eastAsia="zh-CN"/>
        </w:rPr>
      </w:pPr>
    </w:p>
    <w:p w14:paraId="4B4C1C9E">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val="en-US" w:eastAsia="zh-CN"/>
        </w:rPr>
      </w:pPr>
    </w:p>
    <w:p w14:paraId="2EF1A23C">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val="en-US" w:eastAsia="zh-CN"/>
        </w:rPr>
      </w:pPr>
    </w:p>
    <w:p w14:paraId="178BF098">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val="en-US" w:eastAsia="zh-CN"/>
        </w:rPr>
      </w:pPr>
    </w:p>
    <w:p w14:paraId="5EDC2BE9">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val="en-US" w:eastAsia="zh-CN"/>
        </w:rPr>
      </w:pPr>
    </w:p>
    <w:p w14:paraId="4851B853">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val="en-US" w:eastAsia="zh-CN"/>
        </w:rPr>
      </w:pPr>
    </w:p>
    <w:p w14:paraId="0F7401A7">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val="en-US" w:eastAsia="zh-CN"/>
        </w:rPr>
      </w:pPr>
    </w:p>
    <w:p w14:paraId="5E831B3F">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napToGrid w:val="0"/>
          <w:color w:val="000000"/>
          <w:kern w:val="0"/>
          <w:sz w:val="32"/>
          <w:szCs w:val="32"/>
          <w:highlight w:val="none"/>
          <w:lang w:val="en-US" w:eastAsia="zh-CN"/>
        </w:rPr>
      </w:pPr>
    </w:p>
    <w:p w14:paraId="41A208FF">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snapToGrid w:val="0"/>
          <w:color w:val="000000"/>
          <w:kern w:val="0"/>
          <w:sz w:val="32"/>
          <w:szCs w:val="32"/>
          <w:highlight w:val="none"/>
          <w:lang w:val="en-US" w:eastAsia="zh-CN"/>
        </w:rPr>
        <w:sectPr>
          <w:footerReference r:id="rId3" w:type="default"/>
          <w:pgSz w:w="11906" w:h="16838"/>
          <w:pgMar w:top="2098" w:right="1474" w:bottom="1984" w:left="1587" w:header="851" w:footer="567" w:gutter="0"/>
          <w:pgNumType w:fmt="decimal" w:start="1"/>
          <w:cols w:space="720" w:num="1"/>
          <w:docGrid w:type="lines" w:linePitch="312" w:charSpace="0"/>
        </w:sectPr>
      </w:pPr>
    </w:p>
    <w:p w14:paraId="37ECB051">
      <w:pPr>
        <w:keepNext w:val="0"/>
        <w:keepLines w:val="0"/>
        <w:pageBreakBefore w:val="0"/>
        <w:widowControl w:val="0"/>
        <w:kinsoku/>
        <w:wordWrap w:val="0"/>
        <w:overflowPunct/>
        <w:topLinePunct/>
        <w:autoSpaceDE/>
        <w:autoSpaceDN/>
        <w:bidi w:val="0"/>
        <w:adjustRightInd w:val="0"/>
        <w:snapToGrid w:val="0"/>
        <w:spacing w:line="620" w:lineRule="exact"/>
        <w:jc w:val="center"/>
        <w:textAlignment w:val="baseline"/>
        <w:rPr>
          <w:rFonts w:hint="eastAsia" w:ascii="方正小标宋简体" w:hAnsi="方正小标宋简体" w:eastAsia="方正小标宋简体" w:cs="方正小标宋简体"/>
          <w:color w:val="000000"/>
          <w:sz w:val="44"/>
          <w:szCs w:val="44"/>
          <w:highlight w:val="none"/>
          <w:lang w:val="en-US" w:eastAsia="zh-CN"/>
        </w:rPr>
      </w:pPr>
      <w:r>
        <w:rPr>
          <w:rFonts w:hint="eastAsia" w:ascii="方正小标宋简体" w:hAnsi="方正小标宋简体" w:eastAsia="方正小标宋简体" w:cs="方正小标宋简体"/>
          <w:color w:val="000000"/>
          <w:sz w:val="44"/>
          <w:szCs w:val="44"/>
          <w:highlight w:val="none"/>
          <w:lang w:val="en-US" w:eastAsia="zh-CN"/>
        </w:rPr>
        <w:t>工会工会会员服务卡办理流程图</w:t>
      </w:r>
    </w:p>
    <w:p w14:paraId="0058A45D">
      <w:pPr>
        <w:keepNext w:val="0"/>
        <w:keepLines w:val="0"/>
        <w:pageBreakBefore w:val="0"/>
        <w:widowControl w:val="0"/>
        <w:kinsoku/>
        <w:wordWrap w:val="0"/>
        <w:overflowPunct/>
        <w:topLinePunct/>
        <w:autoSpaceDE/>
        <w:autoSpaceDN/>
        <w:bidi w:val="0"/>
        <w:adjustRightInd w:val="0"/>
        <w:snapToGrid w:val="0"/>
        <w:spacing w:line="620" w:lineRule="exact"/>
        <w:jc w:val="center"/>
        <w:textAlignment w:val="baseline"/>
        <w:rPr>
          <w:rFonts w:hint="eastAsia" w:ascii="方正小标宋简体" w:hAnsi="方正小标宋简体" w:eastAsia="方正小标宋简体" w:cs="方正小标宋简体"/>
          <w:color w:val="000000"/>
          <w:sz w:val="44"/>
          <w:szCs w:val="44"/>
          <w:highlight w:val="none"/>
          <w:lang w:val="en-US"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43"/>
        <w:gridCol w:w="3243"/>
        <w:gridCol w:w="3243"/>
        <w:gridCol w:w="3243"/>
      </w:tblGrid>
      <w:tr w14:paraId="4BAD2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3" w:type="dxa"/>
            <w:noWrap w:val="0"/>
            <w:vAlign w:val="center"/>
          </w:tcPr>
          <w:p w14:paraId="2B8CDFEC">
            <w:pPr>
              <w:keepNext w:val="0"/>
              <w:keepLines w:val="0"/>
              <w:pageBreakBefore w:val="0"/>
              <w:widowControl w:val="0"/>
              <w:kinsoku/>
              <w:wordWrap w:val="0"/>
              <w:overflowPunct/>
              <w:topLinePunct/>
              <w:autoSpaceDE/>
              <w:autoSpaceDN/>
              <w:bidi w:val="0"/>
              <w:adjustRightInd w:val="0"/>
              <w:snapToGrid w:val="0"/>
              <w:spacing w:line="620" w:lineRule="exact"/>
              <w:jc w:val="center"/>
              <w:textAlignment w:val="baseline"/>
              <w:rPr>
                <w:rFonts w:hint="eastAsia" w:ascii="方正小标宋简体" w:hAnsi="方正小标宋简体" w:eastAsia="方正小标宋简体" w:cs="方正小标宋简体"/>
                <w:color w:val="000000"/>
                <w:sz w:val="44"/>
                <w:szCs w:val="44"/>
                <w:highlight w:val="none"/>
                <w:vertAlign w:val="baseline"/>
                <w:lang w:val="en-US" w:eastAsia="zh-CN"/>
              </w:rPr>
            </w:pPr>
            <w:r>
              <w:rPr>
                <w:rFonts w:hint="eastAsia" w:ascii="仿宋_GB2312" w:hAnsi="仿宋_GB2312" w:cs="仿宋_GB2312"/>
                <w:color w:val="000000"/>
                <w:highlight w:val="none"/>
                <w:vertAlign w:val="baseline"/>
                <w:lang w:val="en-US" w:eastAsia="zh-CN"/>
              </w:rPr>
              <w:t>金融机构（银行）</w:t>
            </w:r>
          </w:p>
        </w:tc>
        <w:tc>
          <w:tcPr>
            <w:tcW w:w="3243" w:type="dxa"/>
            <w:noWrap w:val="0"/>
            <w:vAlign w:val="center"/>
          </w:tcPr>
          <w:p w14:paraId="507EFDFE">
            <w:pPr>
              <w:keepNext w:val="0"/>
              <w:keepLines w:val="0"/>
              <w:pageBreakBefore w:val="0"/>
              <w:widowControl w:val="0"/>
              <w:kinsoku/>
              <w:wordWrap w:val="0"/>
              <w:overflowPunct/>
              <w:topLinePunct/>
              <w:autoSpaceDE/>
              <w:autoSpaceDN/>
              <w:bidi w:val="0"/>
              <w:adjustRightInd w:val="0"/>
              <w:snapToGrid w:val="0"/>
              <w:spacing w:line="620" w:lineRule="exact"/>
              <w:jc w:val="center"/>
              <w:textAlignment w:val="baseline"/>
              <w:rPr>
                <w:rFonts w:hint="eastAsia" w:ascii="方正小标宋简体" w:hAnsi="方正小标宋简体" w:eastAsia="方正小标宋简体" w:cs="方正小标宋简体"/>
                <w:color w:val="000000"/>
                <w:sz w:val="44"/>
                <w:szCs w:val="44"/>
                <w:highlight w:val="none"/>
                <w:vertAlign w:val="baseline"/>
                <w:lang w:val="en-US" w:eastAsia="zh-CN"/>
              </w:rPr>
            </w:pPr>
            <w:r>
              <w:rPr>
                <w:rFonts w:hint="eastAsia" w:ascii="仿宋_GB2312" w:hAnsi="仿宋_GB2312" w:cs="仿宋_GB2312"/>
                <w:color w:val="000000"/>
                <w:highlight w:val="none"/>
                <w:vertAlign w:val="baseline"/>
                <w:lang w:val="en-US" w:eastAsia="zh-CN"/>
              </w:rPr>
              <w:t>工会小组</w:t>
            </w:r>
          </w:p>
        </w:tc>
        <w:tc>
          <w:tcPr>
            <w:tcW w:w="3243" w:type="dxa"/>
            <w:noWrap w:val="0"/>
            <w:vAlign w:val="center"/>
          </w:tcPr>
          <w:p w14:paraId="1BF3E8A6">
            <w:pPr>
              <w:keepNext w:val="0"/>
              <w:keepLines w:val="0"/>
              <w:pageBreakBefore w:val="0"/>
              <w:widowControl w:val="0"/>
              <w:kinsoku/>
              <w:wordWrap w:val="0"/>
              <w:overflowPunct/>
              <w:topLinePunct/>
              <w:autoSpaceDE/>
              <w:autoSpaceDN/>
              <w:bidi w:val="0"/>
              <w:adjustRightInd w:val="0"/>
              <w:snapToGrid w:val="0"/>
              <w:spacing w:line="620" w:lineRule="exact"/>
              <w:jc w:val="center"/>
              <w:textAlignment w:val="baseline"/>
              <w:rPr>
                <w:rFonts w:hint="eastAsia" w:ascii="方正小标宋简体" w:hAnsi="方正小标宋简体" w:eastAsia="方正小标宋简体" w:cs="方正小标宋简体"/>
                <w:color w:val="000000"/>
                <w:sz w:val="44"/>
                <w:szCs w:val="44"/>
                <w:highlight w:val="none"/>
                <w:vertAlign w:val="baseline"/>
                <w:lang w:val="en-US" w:eastAsia="zh-CN"/>
              </w:rPr>
            </w:pPr>
            <w:r>
              <w:rPr>
                <w:rFonts w:hint="eastAsia" w:ascii="仿宋_GB2312" w:hAnsi="仿宋_GB2312" w:cs="仿宋_GB2312"/>
                <w:color w:val="000000"/>
                <w:highlight w:val="none"/>
                <w:vertAlign w:val="baseline"/>
                <w:lang w:val="en-US" w:eastAsia="zh-CN"/>
              </w:rPr>
              <w:t>人力资源部</w:t>
            </w:r>
          </w:p>
        </w:tc>
        <w:tc>
          <w:tcPr>
            <w:tcW w:w="3243" w:type="dxa"/>
            <w:noWrap w:val="0"/>
            <w:vAlign w:val="center"/>
          </w:tcPr>
          <w:p w14:paraId="1EFFA838">
            <w:pPr>
              <w:keepNext w:val="0"/>
              <w:keepLines w:val="0"/>
              <w:pageBreakBefore w:val="0"/>
              <w:widowControl w:val="0"/>
              <w:kinsoku/>
              <w:wordWrap w:val="0"/>
              <w:overflowPunct/>
              <w:topLinePunct/>
              <w:autoSpaceDE/>
              <w:autoSpaceDN/>
              <w:bidi w:val="0"/>
              <w:adjustRightInd w:val="0"/>
              <w:snapToGrid w:val="0"/>
              <w:spacing w:line="620" w:lineRule="exact"/>
              <w:jc w:val="center"/>
              <w:textAlignment w:val="baseline"/>
              <w:rPr>
                <w:rFonts w:hint="eastAsia" w:ascii="方正小标宋简体" w:hAnsi="方正小标宋简体" w:eastAsia="方正小标宋简体" w:cs="方正小标宋简体"/>
                <w:color w:val="000000"/>
                <w:sz w:val="44"/>
                <w:szCs w:val="44"/>
                <w:highlight w:val="none"/>
                <w:vertAlign w:val="baseline"/>
                <w:lang w:val="en-US" w:eastAsia="zh-CN"/>
              </w:rPr>
            </w:pPr>
            <w:r>
              <w:rPr>
                <w:rFonts w:hint="eastAsia" w:ascii="仿宋_GB2312" w:hAnsi="仿宋_GB2312" w:cs="仿宋_GB2312"/>
                <w:color w:val="000000"/>
                <w:highlight w:val="none"/>
                <w:vertAlign w:val="baseline"/>
                <w:lang w:val="en-US" w:eastAsia="zh-CN"/>
              </w:rPr>
              <w:t>工会会员</w:t>
            </w:r>
          </w:p>
        </w:tc>
      </w:tr>
      <w:tr w14:paraId="24DD4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0" w:hRule="atLeast"/>
        </w:trPr>
        <w:tc>
          <w:tcPr>
            <w:tcW w:w="3243" w:type="dxa"/>
            <w:noWrap w:val="0"/>
            <w:vAlign w:val="top"/>
          </w:tcPr>
          <w:p w14:paraId="51309322">
            <w:pPr>
              <w:keepNext w:val="0"/>
              <w:keepLines w:val="0"/>
              <w:pageBreakBefore w:val="0"/>
              <w:widowControl w:val="0"/>
              <w:kinsoku/>
              <w:wordWrap w:val="0"/>
              <w:overflowPunct/>
              <w:topLinePunct/>
              <w:autoSpaceDE/>
              <w:autoSpaceDN/>
              <w:bidi w:val="0"/>
              <w:adjustRightInd w:val="0"/>
              <w:snapToGrid w:val="0"/>
              <w:spacing w:line="620" w:lineRule="exact"/>
              <w:jc w:val="center"/>
              <w:textAlignment w:val="baseline"/>
              <w:rPr>
                <w:rFonts w:hint="eastAsia" w:ascii="方正小标宋简体" w:hAnsi="方正小标宋简体" w:eastAsia="方正小标宋简体" w:cs="方正小标宋简体"/>
                <w:color w:val="000000"/>
                <w:sz w:val="44"/>
                <w:szCs w:val="44"/>
                <w:highlight w:val="none"/>
                <w:vertAlign w:val="baseline"/>
                <w:lang w:val="en-US" w:eastAsia="zh-CN"/>
              </w:rPr>
            </w:pPr>
            <w:r>
              <w:rPr>
                <w:color w:val="000000"/>
                <w:sz w:val="32"/>
                <w:highlight w:val="none"/>
              </w:rPr>
              <mc:AlternateContent>
                <mc:Choice Requires="wps">
                  <w:drawing>
                    <wp:anchor distT="0" distB="0" distL="114300" distR="114300" simplePos="0" relativeHeight="251675648" behindDoc="0" locked="0" layoutInCell="1" allowOverlap="1">
                      <wp:simplePos x="0" y="0"/>
                      <wp:positionH relativeFrom="column">
                        <wp:posOffset>781050</wp:posOffset>
                      </wp:positionH>
                      <wp:positionV relativeFrom="paragraph">
                        <wp:posOffset>2066290</wp:posOffset>
                      </wp:positionV>
                      <wp:extent cx="1698625" cy="9525"/>
                      <wp:effectExtent l="0" t="56515" r="15875" b="48260"/>
                      <wp:wrapNone/>
                      <wp:docPr id="28" name="直接箭头连接符 28"/>
                      <wp:cNvGraphicFramePr/>
                      <a:graphic xmlns:a="http://schemas.openxmlformats.org/drawingml/2006/main">
                        <a:graphicData uri="http://schemas.microsoft.com/office/word/2010/wordprocessingShape">
                          <wps:wsp>
                            <wps:cNvCnPr/>
                            <wps:spPr>
                              <a:xfrm flipV="1">
                                <a:off x="0" y="0"/>
                                <a:ext cx="1698625" cy="9525"/>
                              </a:xfrm>
                              <a:prstGeom prst="straightConnector1">
                                <a:avLst/>
                              </a:prstGeom>
                              <a:noFill/>
                              <a:ln w="254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flip:y;margin-left:61.5pt;margin-top:162.7pt;height:0.75pt;width:133.75pt;z-index:251675648;mso-width-relative:page;mso-height-relative:page;" filled="f" stroked="t" coordsize="21600,21600" o:gfxdata="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rZXzN2QAAAAsBAAAPAAAAAAAAAAEAIAAAACIA&#10;AABkcnMvZG93bnJldi54bWxQSwECFAAUAAAACACHTuJAhIi94QgCAADlAwAADgAAAAAAAAABACAA&#10;AAAoAQAAZHJzL2Uyb0RvYy54bWxQSwUGAAAAAAYABgBZAQAAogUAAAAA&#10;">
                      <v:fill on="f" focussize="0,0"/>
                      <v:stroke weight="2pt" color="#000000" joinstyle="round" endarrow="open"/>
                      <v:imagedata o:title=""/>
                      <o:lock v:ext="edit" aspectratio="f"/>
                    </v:shape>
                  </w:pict>
                </mc:Fallback>
              </mc:AlternateContent>
            </w:r>
            <w:r>
              <w:rPr>
                <w:color w:val="000000"/>
                <w:sz w:val="32"/>
                <w:highlight w:val="none"/>
              </w:rPr>
              <mc:AlternateContent>
                <mc:Choice Requires="wps">
                  <w:drawing>
                    <wp:anchor distT="0" distB="0" distL="114300" distR="114300" simplePos="0" relativeHeight="251674624" behindDoc="0" locked="0" layoutInCell="1" allowOverlap="1">
                      <wp:simplePos x="0" y="0"/>
                      <wp:positionH relativeFrom="column">
                        <wp:posOffset>781685</wp:posOffset>
                      </wp:positionH>
                      <wp:positionV relativeFrom="paragraph">
                        <wp:posOffset>989330</wp:posOffset>
                      </wp:positionV>
                      <wp:extent cx="12700" cy="1083310"/>
                      <wp:effectExtent l="12700" t="0" r="12700" b="2540"/>
                      <wp:wrapNone/>
                      <wp:docPr id="27" name="直接连接符 27"/>
                      <wp:cNvGraphicFramePr/>
                      <a:graphic xmlns:a="http://schemas.openxmlformats.org/drawingml/2006/main">
                        <a:graphicData uri="http://schemas.microsoft.com/office/word/2010/wordprocessingShape">
                          <wps:wsp>
                            <wps:cNvCnPr/>
                            <wps:spPr>
                              <a:xfrm flipH="1">
                                <a:off x="0" y="0"/>
                                <a:ext cx="12700" cy="1083310"/>
                              </a:xfrm>
                              <a:prstGeom prst="line">
                                <a:avLst/>
                              </a:prstGeom>
                              <a:noFill/>
                              <a:ln w="25400" cap="flat" cmpd="sng" algn="ctr">
                                <a:solidFill>
                                  <a:srgbClr val="000000"/>
                                </a:solidFill>
                                <a:prstDash val="solid"/>
                              </a:ln>
                              <a:effectLst/>
                            </wps:spPr>
                            <wps:bodyPr/>
                          </wps:wsp>
                        </a:graphicData>
                      </a:graphic>
                    </wp:anchor>
                  </w:drawing>
                </mc:Choice>
                <mc:Fallback>
                  <w:pict>
                    <v:line id="_x0000_s1026" o:spid="_x0000_s1026" o:spt="20" style="position:absolute;left:0pt;flip:x;margin-left:61.55pt;margin-top:77.9pt;height:85.3pt;width:1pt;z-index:251674624;mso-width-relative:page;mso-height-relative:page;" filled="f" stroked="t" coordsize="21600,21600" o:gfxdata="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sPLx&#10;qNcAAAALAQAADwAAAAAAAAABACAAAAAiAAAAZHJzL2Rvd25yZXYueG1sUEsBAhQAFAAAAAgAh07i&#10;QOyzLCHqAQAAuQMAAA4AAAAAAAAAAQAgAAAAJgEAAGRycy9lMm9Eb2MueG1sUEsFBgAAAAAGAAYA&#10;WQEAAIIFAAAAAA==&#10;">
                      <v:fill on="f" focussize="0,0"/>
                      <v:stroke weight="2pt" color="#000000" joinstyle="round"/>
                      <v:imagedata o:title=""/>
                      <o:lock v:ext="edit" aspectratio="f"/>
                    </v:line>
                  </w:pict>
                </mc:Fallback>
              </mc:AlternateContent>
            </w:r>
            <w:r>
              <w:rPr>
                <w:color w:val="000000"/>
                <w:sz w:val="32"/>
                <w:highlight w:val="none"/>
              </w:rPr>
              <mc:AlternateContent>
                <mc:Choice Requires="wps">
                  <w:drawing>
                    <wp:anchor distT="0" distB="0" distL="114300" distR="114300" simplePos="0" relativeHeight="251671552" behindDoc="0" locked="0" layoutInCell="1" allowOverlap="1">
                      <wp:simplePos x="0" y="0"/>
                      <wp:positionH relativeFrom="column">
                        <wp:posOffset>1258570</wp:posOffset>
                      </wp:positionH>
                      <wp:positionV relativeFrom="paragraph">
                        <wp:posOffset>834390</wp:posOffset>
                      </wp:positionV>
                      <wp:extent cx="1141730" cy="22225"/>
                      <wp:effectExtent l="0" t="55245" r="1270" b="36830"/>
                      <wp:wrapNone/>
                      <wp:docPr id="18" name="直接箭头连接符 18"/>
                      <wp:cNvGraphicFramePr/>
                      <a:graphic xmlns:a="http://schemas.openxmlformats.org/drawingml/2006/main">
                        <a:graphicData uri="http://schemas.microsoft.com/office/word/2010/wordprocessingShape">
                          <wps:wsp>
                            <wps:cNvCnPr>
                              <a:endCxn id="9" idx="3"/>
                            </wps:cNvCnPr>
                            <wps:spPr>
                              <a:xfrm flipH="1" flipV="1">
                                <a:off x="0" y="0"/>
                                <a:ext cx="1141730" cy="22225"/>
                              </a:xfrm>
                              <a:prstGeom prst="straightConnector1">
                                <a:avLst/>
                              </a:prstGeom>
                              <a:noFill/>
                              <a:ln w="254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flip:x y;margin-left:99.1pt;margin-top:65.7pt;height:1.75pt;width:89.9pt;z-index:251671552;mso-width-relative:page;mso-height-relative:page;" filled="f" stroked="t" coordsize="21600,21600" o:gfxdata="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VydubZAAAA&#10;CwEAAA8AAAAAAAAAAQAgAAAAIgAAAGRycy9kb3ducmV2LnhtbFBLAQIUABQAAAAIAIdO4kAc2mlT&#10;HAIAABcEAAAOAAAAAAAAAAEAIAAAACgBAABkcnMvZTJvRG9jLnhtbFBLBQYAAAAABgAGAFkBAAC2&#10;BQAAAAA=&#10;">
                      <v:fill on="f" focussize="0,0"/>
                      <v:stroke weight="2pt" color="#000000" joinstyle="round" endarrow="open"/>
                      <v:imagedata o:title=""/>
                      <o:lock v:ext="edit" aspectratio="f"/>
                    </v:shape>
                  </w:pict>
                </mc:Fallback>
              </mc:AlternateContent>
            </w:r>
            <w:r>
              <w:rPr>
                <w:color w:val="000000"/>
                <w:sz w:val="32"/>
                <w:highlight w:val="none"/>
              </w:rPr>
              <mc:AlternateContent>
                <mc:Choice Requires="wps">
                  <w:drawing>
                    <wp:anchor distT="0" distB="0" distL="114300" distR="114300" simplePos="0" relativeHeight="251667456" behindDoc="0" locked="0" layoutInCell="1" allowOverlap="1">
                      <wp:simplePos x="0" y="0"/>
                      <wp:positionH relativeFrom="column">
                        <wp:posOffset>425450</wp:posOffset>
                      </wp:positionH>
                      <wp:positionV relativeFrom="paragraph">
                        <wp:posOffset>707390</wp:posOffset>
                      </wp:positionV>
                      <wp:extent cx="833120" cy="253365"/>
                      <wp:effectExtent l="4445" t="4445" r="19685" b="8890"/>
                      <wp:wrapNone/>
                      <wp:docPr id="9" name="文本框 9"/>
                      <wp:cNvGraphicFramePr/>
                      <a:graphic xmlns:a="http://schemas.openxmlformats.org/drawingml/2006/main">
                        <a:graphicData uri="http://schemas.microsoft.com/office/word/2010/wordprocessingShape">
                          <wps:wsp>
                            <wps:cNvSpPr txBox="1"/>
                            <wps:spPr>
                              <a:xfrm>
                                <a:off x="0" y="0"/>
                                <a:ext cx="833120" cy="253365"/>
                              </a:xfrm>
                              <a:prstGeom prst="rect">
                                <a:avLst/>
                              </a:prstGeom>
                              <a:solidFill>
                                <a:srgbClr val="FFFFFF"/>
                              </a:solidFill>
                              <a:ln w="6350">
                                <a:solidFill>
                                  <a:prstClr val="black"/>
                                </a:solidFill>
                              </a:ln>
                              <a:effectLst/>
                            </wps:spPr>
                            <wps:txbx>
                              <w:txbxContent>
                                <w:p w14:paraId="159CA517">
                                  <w:pPr>
                                    <w:rPr>
                                      <w:rFonts w:hint="default" w:eastAsia="仿宋_GB2312"/>
                                      <w:sz w:val="18"/>
                                      <w:szCs w:val="18"/>
                                      <w:lang w:val="en-US" w:eastAsia="zh-CN"/>
                                    </w:rPr>
                                  </w:pPr>
                                  <w:r>
                                    <w:rPr>
                                      <w:rFonts w:hint="eastAsia"/>
                                      <w:sz w:val="18"/>
                                      <w:szCs w:val="18"/>
                                      <w:lang w:val="en-US" w:eastAsia="zh-CN"/>
                                    </w:rPr>
                                    <w:t>开卡制卡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5pt;margin-top:55.7pt;height:19.95pt;width:65.6pt;z-index:251667456;mso-width-relative:page;mso-height-relative:page;" fillcolor="#FFFFFF" filled="t" stroked="t" coordsize="21600,21600" o:gfxdata="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Add&#10;XdTXAAAACgEAAA8AAAAAAAAAAQAgAAAAIgAAAGRycy9kb3ducmV2LnhtbFBLAQIUABQAAAAIAIdO&#10;4kBXFh3SXQIAAMQEAAAOAAAAAAAAAAEAIAAAACYBAABkcnMvZTJvRG9jLnhtbFBLBQYAAAAABgAG&#10;AFkBAAD1BQAAAAA=&#10;">
                      <v:fill on="t" focussize="0,0"/>
                      <v:stroke weight="0.5pt" color="#000000" joinstyle="round"/>
                      <v:imagedata o:title=""/>
                      <o:lock v:ext="edit" aspectratio="f"/>
                      <v:textbox>
                        <w:txbxContent>
                          <w:p w14:paraId="159CA517">
                            <w:pPr>
                              <w:rPr>
                                <w:rFonts w:hint="default" w:eastAsia="仿宋_GB2312"/>
                                <w:sz w:val="18"/>
                                <w:szCs w:val="18"/>
                                <w:lang w:val="en-US" w:eastAsia="zh-CN"/>
                              </w:rPr>
                            </w:pPr>
                            <w:r>
                              <w:rPr>
                                <w:rFonts w:hint="eastAsia"/>
                                <w:sz w:val="18"/>
                                <w:szCs w:val="18"/>
                                <w:lang w:val="en-US" w:eastAsia="zh-CN"/>
                              </w:rPr>
                              <w:t>开卡制卡</w:t>
                            </w:r>
                          </w:p>
                        </w:txbxContent>
                      </v:textbox>
                    </v:shape>
                  </w:pict>
                </mc:Fallback>
              </mc:AlternateContent>
            </w:r>
          </w:p>
        </w:tc>
        <w:tc>
          <w:tcPr>
            <w:tcW w:w="3243" w:type="dxa"/>
            <w:noWrap w:val="0"/>
            <w:vAlign w:val="top"/>
          </w:tcPr>
          <w:p w14:paraId="66D16CE7">
            <w:pPr>
              <w:keepNext w:val="0"/>
              <w:keepLines w:val="0"/>
              <w:pageBreakBefore w:val="0"/>
              <w:widowControl w:val="0"/>
              <w:kinsoku/>
              <w:wordWrap w:val="0"/>
              <w:overflowPunct/>
              <w:topLinePunct/>
              <w:autoSpaceDE/>
              <w:autoSpaceDN/>
              <w:bidi w:val="0"/>
              <w:adjustRightInd w:val="0"/>
              <w:snapToGrid w:val="0"/>
              <w:spacing w:line="620" w:lineRule="exact"/>
              <w:jc w:val="center"/>
              <w:textAlignment w:val="baseline"/>
              <w:rPr>
                <w:rFonts w:hint="eastAsia" w:ascii="方正小标宋简体" w:hAnsi="方正小标宋简体" w:eastAsia="方正小标宋简体" w:cs="方正小标宋简体"/>
                <w:color w:val="000000"/>
                <w:sz w:val="44"/>
                <w:szCs w:val="44"/>
                <w:highlight w:val="none"/>
                <w:vertAlign w:val="baseline"/>
                <w:lang w:val="en-US" w:eastAsia="zh-CN"/>
              </w:rPr>
            </w:pPr>
            <w:r>
              <w:rPr>
                <w:color w:val="000000"/>
                <w:sz w:val="32"/>
                <w:highlight w:val="none"/>
              </w:rPr>
              <mc:AlternateContent>
                <mc:Choice Requires="wps">
                  <w:drawing>
                    <wp:anchor distT="0" distB="0" distL="114300" distR="114300" simplePos="0" relativeHeight="251676672" behindDoc="0" locked="0" layoutInCell="1" allowOverlap="1">
                      <wp:simplePos x="0" y="0"/>
                      <wp:positionH relativeFrom="column">
                        <wp:posOffset>1636395</wp:posOffset>
                      </wp:positionH>
                      <wp:positionV relativeFrom="paragraph">
                        <wp:posOffset>2076450</wp:posOffset>
                      </wp:positionV>
                      <wp:extent cx="3444875" cy="1905"/>
                      <wp:effectExtent l="0" t="55245" r="3175" b="57150"/>
                      <wp:wrapNone/>
                      <wp:docPr id="1" name="直接箭头连接符 1"/>
                      <wp:cNvGraphicFramePr/>
                      <a:graphic xmlns:a="http://schemas.openxmlformats.org/drawingml/2006/main">
                        <a:graphicData uri="http://schemas.microsoft.com/office/word/2010/wordprocessingShape">
                          <wps:wsp>
                            <wps:cNvCnPr/>
                            <wps:spPr>
                              <a:xfrm>
                                <a:off x="0" y="0"/>
                                <a:ext cx="3444875" cy="1905"/>
                              </a:xfrm>
                              <a:prstGeom prst="straightConnector1">
                                <a:avLst/>
                              </a:prstGeom>
                              <a:ln w="25400" cap="flat" cmpd="sng">
                                <a:solidFill>
                                  <a:srgbClr val="000000"/>
                                </a:solidFill>
                                <a:prstDash val="solid"/>
                                <a:round/>
                                <a:headEnd type="none" w="med" len="med"/>
                                <a:tailEnd type="arrow" w="med" len="med"/>
                              </a:ln>
                            </wps:spPr>
                            <wps:bodyPr/>
                          </wps:wsp>
                        </a:graphicData>
                      </a:graphic>
                    </wp:anchor>
                  </w:drawing>
                </mc:Choice>
                <mc:Fallback>
                  <w:pict>
                    <v:shape id="_x0000_s1026" o:spid="_x0000_s1026" o:spt="32" type="#_x0000_t32" style="position:absolute;left:0pt;margin-left:128.85pt;margin-top:163.5pt;height:0.15pt;width:271.25pt;z-index:251676672;mso-width-relative:page;mso-height-relative:page;" filled="f" stroked="t" coordsize="21600,21600" o:gfxdata="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V1eF/9oAAAALAQAADwAAAAAAAAABACAA&#10;AAAiAAAAZHJzL2Rvd25yZXYueG1sUEsBAhQAFAAAAAgAh07iQELYBzMLAgAA+wMAAA4AAAAAAAAA&#10;AQAgAAAAKQEAAGRycy9lMm9Eb2MueG1sUEsFBgAAAAAGAAYAWQEAAKYFAAAAAA==&#10;">
                      <v:fill on="f" focussize="0,0"/>
                      <v:stroke weight="2pt" color="#000000" joinstyle="round" endarrow="open"/>
                      <v:imagedata o:title=""/>
                      <o:lock v:ext="edit" aspectratio="f"/>
                    </v:shape>
                  </w:pict>
                </mc:Fallback>
              </mc:AlternateContent>
            </w:r>
            <w:r>
              <w:rPr>
                <w:color w:val="000000"/>
                <w:sz w:val="32"/>
                <w:highlight w:val="none"/>
              </w:rPr>
              <mc:AlternateContent>
                <mc:Choice Requires="wps">
                  <w:drawing>
                    <wp:anchor distT="0" distB="0" distL="114300" distR="114300" simplePos="0" relativeHeight="251673600" behindDoc="0" locked="0" layoutInCell="1" allowOverlap="1">
                      <wp:simplePos x="0" y="0"/>
                      <wp:positionH relativeFrom="column">
                        <wp:posOffset>420370</wp:posOffset>
                      </wp:positionH>
                      <wp:positionV relativeFrom="paragraph">
                        <wp:posOffset>1871345</wp:posOffset>
                      </wp:positionV>
                      <wp:extent cx="1184910" cy="478155"/>
                      <wp:effectExtent l="4445" t="4445" r="10795" b="12700"/>
                      <wp:wrapNone/>
                      <wp:docPr id="26" name="文本框 26"/>
                      <wp:cNvGraphicFramePr/>
                      <a:graphic xmlns:a="http://schemas.openxmlformats.org/drawingml/2006/main">
                        <a:graphicData uri="http://schemas.microsoft.com/office/word/2010/wordprocessingShape">
                          <wps:wsp>
                            <wps:cNvSpPr txBox="1"/>
                            <wps:spPr>
                              <a:xfrm>
                                <a:off x="0" y="0"/>
                                <a:ext cx="1184910" cy="351790"/>
                              </a:xfrm>
                              <a:prstGeom prst="rect">
                                <a:avLst/>
                              </a:prstGeom>
                              <a:solidFill>
                                <a:srgbClr val="FFFFFF"/>
                              </a:solidFill>
                              <a:ln w="6350">
                                <a:solidFill>
                                  <a:prstClr val="black"/>
                                </a:solidFill>
                              </a:ln>
                              <a:effectLst/>
                            </wps:spPr>
                            <wps:txbx>
                              <w:txbxContent>
                                <w:p w14:paraId="2DBF659E">
                                  <w:pPr>
                                    <w:rPr>
                                      <w:rFonts w:hint="default" w:eastAsia="仿宋_GB2312"/>
                                      <w:sz w:val="18"/>
                                      <w:szCs w:val="18"/>
                                      <w:lang w:val="en-US" w:eastAsia="zh-CN"/>
                                    </w:rPr>
                                  </w:pPr>
                                  <w:r>
                                    <w:rPr>
                                      <w:rFonts w:hint="eastAsia"/>
                                      <w:sz w:val="18"/>
                                      <w:szCs w:val="18"/>
                                      <w:lang w:val="en-US" w:eastAsia="zh-CN"/>
                                    </w:rPr>
                                    <w:t>向员工分发卡片、现场激活</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1pt;margin-top:147.35pt;height:37.65pt;width:93.3pt;z-index:251673600;mso-width-relative:page;mso-height-relative:page;" fillcolor="#FFFFFF" filled="t" stroked="t" coordsize="21600,21600" o:gfxdata="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2AuZN1wAAAAoBAAAPAAAAAAAAAAEAIAAAACIAAABkcnMvZG93bnJldi54bWxQSwECFAAUAAAA&#10;CACHTuJAjQLD5GECAADHBAAADgAAAAAAAAABACAAAAAmAQAAZHJzL2Uyb0RvYy54bWxQSwUGAAAA&#10;AAYABgBZAQAA+QUAAAAA&#10;">
                      <v:fill on="t" focussize="0,0"/>
                      <v:stroke weight="0.5pt" color="#000000" joinstyle="round"/>
                      <v:imagedata o:title=""/>
                      <o:lock v:ext="edit" aspectratio="f"/>
                      <v:textbox>
                        <w:txbxContent>
                          <w:p w14:paraId="2DBF659E">
                            <w:pPr>
                              <w:rPr>
                                <w:rFonts w:hint="default" w:eastAsia="仿宋_GB2312"/>
                                <w:sz w:val="18"/>
                                <w:szCs w:val="18"/>
                                <w:lang w:val="en-US" w:eastAsia="zh-CN"/>
                              </w:rPr>
                            </w:pPr>
                            <w:r>
                              <w:rPr>
                                <w:rFonts w:hint="eastAsia"/>
                                <w:sz w:val="18"/>
                                <w:szCs w:val="18"/>
                                <w:lang w:val="en-US" w:eastAsia="zh-CN"/>
                              </w:rPr>
                              <w:t>向员工分发卡片、现场激活</w:t>
                            </w:r>
                          </w:p>
                        </w:txbxContent>
                      </v:textbox>
                    </v:shape>
                  </w:pict>
                </mc:Fallback>
              </mc:AlternateContent>
            </w:r>
            <w:r>
              <w:rPr>
                <w:color w:val="000000"/>
                <w:sz w:val="32"/>
                <w:highlight w:val="none"/>
              </w:rPr>
              <mc:AlternateContent>
                <mc:Choice Requires="wps">
                  <w:drawing>
                    <wp:anchor distT="0" distB="0" distL="114300" distR="114300" simplePos="0" relativeHeight="251672576" behindDoc="0" locked="0" layoutInCell="1" allowOverlap="1">
                      <wp:simplePos x="0" y="0"/>
                      <wp:positionH relativeFrom="column">
                        <wp:posOffset>1655445</wp:posOffset>
                      </wp:positionH>
                      <wp:positionV relativeFrom="paragraph">
                        <wp:posOffset>868045</wp:posOffset>
                      </wp:positionV>
                      <wp:extent cx="866775" cy="7620"/>
                      <wp:effectExtent l="0" t="55880" r="9525" b="50800"/>
                      <wp:wrapNone/>
                      <wp:docPr id="24" name="直接箭头连接符 24"/>
                      <wp:cNvGraphicFramePr/>
                      <a:graphic xmlns:a="http://schemas.openxmlformats.org/drawingml/2006/main">
                        <a:graphicData uri="http://schemas.microsoft.com/office/word/2010/wordprocessingShape">
                          <wps:wsp>
                            <wps:cNvCnPr/>
                            <wps:spPr>
                              <a:xfrm flipH="1" flipV="1">
                                <a:off x="0" y="0"/>
                                <a:ext cx="866775" cy="7620"/>
                              </a:xfrm>
                              <a:prstGeom prst="straightConnector1">
                                <a:avLst/>
                              </a:prstGeom>
                              <a:noFill/>
                              <a:ln w="254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flip:x y;margin-left:130.35pt;margin-top:68.35pt;height:0.6pt;width:68.25pt;z-index:251672576;mso-width-relative:page;mso-height-relative:page;" filled="f" stroked="t" coordsize="21600,21600" o:gfxdata="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SqsWB2QAAAAsBAAAPAAAAAAAAAAEA&#10;IAAAACIAAABkcnMvZG93bnJldi54bWxQSwECFAAUAAAACACHTuJAL9uI1w4CAADuAwAADgAAAAAA&#10;AAABACAAAAAoAQAAZHJzL2Uyb0RvYy54bWxQSwUGAAAAAAYABgBZAQAAqAUAAAAA&#10;">
                      <v:fill on="f" focussize="0,0"/>
                      <v:stroke weight="2pt" color="#000000" joinstyle="round" endarrow="open"/>
                      <v:imagedata o:title=""/>
                      <o:lock v:ext="edit" aspectratio="f"/>
                    </v:shape>
                  </w:pict>
                </mc:Fallback>
              </mc:AlternateContent>
            </w:r>
            <w:r>
              <w:rPr>
                <w:color w:val="000000"/>
                <w:sz w:val="32"/>
                <w:highlight w:val="none"/>
              </w:rPr>
              <mc:AlternateContent>
                <mc:Choice Requires="wps">
                  <w:drawing>
                    <wp:anchor distT="0" distB="0" distL="114300" distR="114300" simplePos="0" relativeHeight="251668480" behindDoc="0" locked="0" layoutInCell="1" allowOverlap="1">
                      <wp:simplePos x="0" y="0"/>
                      <wp:positionH relativeFrom="column">
                        <wp:posOffset>352425</wp:posOffset>
                      </wp:positionH>
                      <wp:positionV relativeFrom="paragraph">
                        <wp:posOffset>483235</wp:posOffset>
                      </wp:positionV>
                      <wp:extent cx="1288415" cy="1040130"/>
                      <wp:effectExtent l="4445" t="4445" r="21590" b="22225"/>
                      <wp:wrapNone/>
                      <wp:docPr id="11" name="文本框 11"/>
                      <wp:cNvGraphicFramePr/>
                      <a:graphic xmlns:a="http://schemas.openxmlformats.org/drawingml/2006/main">
                        <a:graphicData uri="http://schemas.microsoft.com/office/word/2010/wordprocessingShape">
                          <wps:wsp>
                            <wps:cNvSpPr txBox="1"/>
                            <wps:spPr>
                              <a:xfrm>
                                <a:off x="0" y="0"/>
                                <a:ext cx="1288415" cy="834390"/>
                              </a:xfrm>
                              <a:prstGeom prst="rect">
                                <a:avLst/>
                              </a:prstGeom>
                              <a:solidFill>
                                <a:srgbClr val="FFFFFF"/>
                              </a:solidFill>
                              <a:ln w="6350">
                                <a:solidFill>
                                  <a:prstClr val="black"/>
                                </a:solidFill>
                              </a:ln>
                              <a:effectLst/>
                            </wps:spPr>
                            <wps:txbx>
                              <w:txbxContent>
                                <w:p w14:paraId="54468ADA">
                                  <w:pPr>
                                    <w:numPr>
                                      <w:ilvl w:val="0"/>
                                      <w:numId w:val="0"/>
                                    </w:numPr>
                                    <w:rPr>
                                      <w:rFonts w:hint="eastAsia"/>
                                      <w:sz w:val="18"/>
                                      <w:szCs w:val="18"/>
                                      <w:lang w:val="en-US" w:eastAsia="zh-CN"/>
                                    </w:rPr>
                                  </w:pPr>
                                  <w:r>
                                    <w:rPr>
                                      <w:rFonts w:hint="eastAsia"/>
                                      <w:sz w:val="18"/>
                                      <w:szCs w:val="18"/>
                                      <w:lang w:val="en-US" w:eastAsia="zh-CN"/>
                                    </w:rPr>
                                    <w:t>1.审核会费缴纳情况；</w:t>
                                  </w:r>
                                </w:p>
                                <w:p w14:paraId="6D02F746">
                                  <w:pPr>
                                    <w:numPr>
                                      <w:ilvl w:val="0"/>
                                      <w:numId w:val="0"/>
                                    </w:numPr>
                                    <w:rPr>
                                      <w:rFonts w:hint="default"/>
                                      <w:sz w:val="18"/>
                                      <w:szCs w:val="18"/>
                                      <w:lang w:val="en-US" w:eastAsia="zh-CN"/>
                                    </w:rPr>
                                  </w:pPr>
                                  <w:r>
                                    <w:rPr>
                                      <w:rFonts w:hint="eastAsia"/>
                                      <w:sz w:val="18"/>
                                      <w:szCs w:val="18"/>
                                      <w:lang w:val="en-US" w:eastAsia="zh-CN"/>
                                    </w:rPr>
                                    <w:t>2.确认名单；</w:t>
                                  </w:r>
                                </w:p>
                                <w:p w14:paraId="009D6A8C">
                                  <w:pPr>
                                    <w:numPr>
                                      <w:ilvl w:val="0"/>
                                      <w:numId w:val="0"/>
                                    </w:numPr>
                                    <w:rPr>
                                      <w:rFonts w:hint="default" w:eastAsia="仿宋_GB2312"/>
                                      <w:sz w:val="18"/>
                                      <w:szCs w:val="18"/>
                                      <w:lang w:val="en-US" w:eastAsia="zh-CN"/>
                                    </w:rPr>
                                  </w:pPr>
                                  <w:r>
                                    <w:rPr>
                                      <w:rFonts w:hint="eastAsia"/>
                                      <w:sz w:val="18"/>
                                      <w:szCs w:val="18"/>
                                      <w:lang w:val="en-US" w:eastAsia="zh-CN"/>
                                    </w:rPr>
                                    <w:t>3.按名单收集会员身份证复印件等制卡信息。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75pt;margin-top:38.05pt;height:81.9pt;width:101.45pt;z-index:251668480;mso-width-relative:page;mso-height-relative:page;" fillcolor="#FFFFFF" filled="t" stroked="t" coordsize="21600,21600" o:gfxdata="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q3w8q1wAAAAkBAAAPAAAAAAAAAAEAIAAAACIAAABkcnMvZG93bnJldi54bWxQSwECFAAUAAAA&#10;CACHTuJAvvZQRWECAADHBAAADgAAAAAAAAABACAAAAAmAQAAZHJzL2Uyb0RvYy54bWxQSwUGAAAA&#10;AAYABgBZAQAA+QUAAAAA&#10;">
                      <v:fill on="t" focussize="0,0"/>
                      <v:stroke weight="0.5pt" color="#000000" joinstyle="round"/>
                      <v:imagedata o:title=""/>
                      <o:lock v:ext="edit" aspectratio="f"/>
                      <v:textbox>
                        <w:txbxContent>
                          <w:p w14:paraId="54468ADA">
                            <w:pPr>
                              <w:numPr>
                                <w:ilvl w:val="0"/>
                                <w:numId w:val="0"/>
                              </w:numPr>
                              <w:rPr>
                                <w:rFonts w:hint="eastAsia"/>
                                <w:sz w:val="18"/>
                                <w:szCs w:val="18"/>
                                <w:lang w:val="en-US" w:eastAsia="zh-CN"/>
                              </w:rPr>
                            </w:pPr>
                            <w:r>
                              <w:rPr>
                                <w:rFonts w:hint="eastAsia"/>
                                <w:sz w:val="18"/>
                                <w:szCs w:val="18"/>
                                <w:lang w:val="en-US" w:eastAsia="zh-CN"/>
                              </w:rPr>
                              <w:t>1.审核会费缴纳情况；</w:t>
                            </w:r>
                          </w:p>
                          <w:p w14:paraId="6D02F746">
                            <w:pPr>
                              <w:numPr>
                                <w:ilvl w:val="0"/>
                                <w:numId w:val="0"/>
                              </w:numPr>
                              <w:rPr>
                                <w:rFonts w:hint="default"/>
                                <w:sz w:val="18"/>
                                <w:szCs w:val="18"/>
                                <w:lang w:val="en-US" w:eastAsia="zh-CN"/>
                              </w:rPr>
                            </w:pPr>
                            <w:r>
                              <w:rPr>
                                <w:rFonts w:hint="eastAsia"/>
                                <w:sz w:val="18"/>
                                <w:szCs w:val="18"/>
                                <w:lang w:val="en-US" w:eastAsia="zh-CN"/>
                              </w:rPr>
                              <w:t>2.确认名单；</w:t>
                            </w:r>
                          </w:p>
                          <w:p w14:paraId="009D6A8C">
                            <w:pPr>
                              <w:numPr>
                                <w:ilvl w:val="0"/>
                                <w:numId w:val="0"/>
                              </w:numPr>
                              <w:rPr>
                                <w:rFonts w:hint="default" w:eastAsia="仿宋_GB2312"/>
                                <w:sz w:val="18"/>
                                <w:szCs w:val="18"/>
                                <w:lang w:val="en-US" w:eastAsia="zh-CN"/>
                              </w:rPr>
                            </w:pPr>
                            <w:r>
                              <w:rPr>
                                <w:rFonts w:hint="eastAsia"/>
                                <w:sz w:val="18"/>
                                <w:szCs w:val="18"/>
                                <w:lang w:val="en-US" w:eastAsia="zh-CN"/>
                              </w:rPr>
                              <w:t>3.按名单收集会员身份证复印件等制卡信息。</w:t>
                            </w:r>
                          </w:p>
                        </w:txbxContent>
                      </v:textbox>
                    </v:shape>
                  </w:pict>
                </mc:Fallback>
              </mc:AlternateContent>
            </w:r>
          </w:p>
        </w:tc>
        <w:tc>
          <w:tcPr>
            <w:tcW w:w="3243" w:type="dxa"/>
            <w:noWrap w:val="0"/>
            <w:vAlign w:val="top"/>
          </w:tcPr>
          <w:p w14:paraId="3786D3C0">
            <w:pPr>
              <w:keepNext w:val="0"/>
              <w:keepLines w:val="0"/>
              <w:pageBreakBefore w:val="0"/>
              <w:widowControl w:val="0"/>
              <w:kinsoku/>
              <w:wordWrap w:val="0"/>
              <w:overflowPunct/>
              <w:topLinePunct/>
              <w:autoSpaceDE/>
              <w:autoSpaceDN/>
              <w:bidi w:val="0"/>
              <w:adjustRightInd w:val="0"/>
              <w:snapToGrid w:val="0"/>
              <w:spacing w:line="620" w:lineRule="exact"/>
              <w:jc w:val="center"/>
              <w:textAlignment w:val="baseline"/>
              <w:rPr>
                <w:rFonts w:hint="eastAsia" w:ascii="方正小标宋简体" w:hAnsi="方正小标宋简体" w:eastAsia="方正小标宋简体" w:cs="方正小标宋简体"/>
                <w:color w:val="000000"/>
                <w:sz w:val="44"/>
                <w:szCs w:val="44"/>
                <w:highlight w:val="none"/>
                <w:vertAlign w:val="baseline"/>
                <w:lang w:val="en-US" w:eastAsia="zh-CN"/>
              </w:rPr>
            </w:pPr>
            <w:r>
              <w:rPr>
                <w:color w:val="000000"/>
                <w:sz w:val="32"/>
                <w:highlight w:val="none"/>
              </w:rPr>
              <mc:AlternateContent>
                <mc:Choice Requires="wps">
                  <w:drawing>
                    <wp:anchor distT="0" distB="0" distL="114300" distR="114300" simplePos="0" relativeHeight="251669504" behindDoc="0" locked="0" layoutInCell="1" allowOverlap="1">
                      <wp:simplePos x="0" y="0"/>
                      <wp:positionH relativeFrom="column">
                        <wp:posOffset>454660</wp:posOffset>
                      </wp:positionH>
                      <wp:positionV relativeFrom="paragraph">
                        <wp:posOffset>716280</wp:posOffset>
                      </wp:positionV>
                      <wp:extent cx="1279525" cy="253365"/>
                      <wp:effectExtent l="4445" t="4445" r="11430" b="8890"/>
                      <wp:wrapNone/>
                      <wp:docPr id="15" name="文本框 15"/>
                      <wp:cNvGraphicFramePr/>
                      <a:graphic xmlns:a="http://schemas.openxmlformats.org/drawingml/2006/main">
                        <a:graphicData uri="http://schemas.microsoft.com/office/word/2010/wordprocessingShape">
                          <wps:wsp>
                            <wps:cNvSpPr txBox="1"/>
                            <wps:spPr>
                              <a:xfrm>
                                <a:off x="0" y="0"/>
                                <a:ext cx="1279525" cy="253365"/>
                              </a:xfrm>
                              <a:prstGeom prst="rect">
                                <a:avLst/>
                              </a:prstGeom>
                              <a:solidFill>
                                <a:srgbClr val="FFFFFF"/>
                              </a:solidFill>
                              <a:ln w="6350">
                                <a:solidFill>
                                  <a:prstClr val="black"/>
                                </a:solidFill>
                              </a:ln>
                              <a:effectLst/>
                            </wps:spPr>
                            <wps:txbx>
                              <w:txbxContent>
                                <w:p w14:paraId="3F96C4C2">
                                  <w:pPr>
                                    <w:rPr>
                                      <w:rFonts w:hint="default" w:eastAsia="仿宋_GB2312"/>
                                      <w:sz w:val="18"/>
                                      <w:szCs w:val="18"/>
                                      <w:lang w:val="en-US" w:eastAsia="zh-CN"/>
                                    </w:rPr>
                                  </w:pPr>
                                  <w:r>
                                    <w:rPr>
                                      <w:rFonts w:hint="eastAsia"/>
                                      <w:sz w:val="18"/>
                                      <w:szCs w:val="18"/>
                                      <w:lang w:val="en-US" w:eastAsia="zh-CN"/>
                                    </w:rPr>
                                    <w:t>汇总提供员工花名册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8pt;margin-top:56.4pt;height:19.95pt;width:100.75pt;z-index:251669504;mso-width-relative:page;mso-height-relative:page;" fillcolor="#FFFFFF" filled="t" stroked="t" coordsize="21600,21600" o:gfxdata="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yqyFjNUAAAAKAQAADwAAAAAAAAABACAAAAAiAAAAZHJzL2Rvd25yZXYueG1sUEsBAhQAFAAAAAgA&#10;h07iQCHLGvZhAgAAxwQAAA4AAAAAAAAAAQAgAAAAJAEAAGRycy9lMm9Eb2MueG1sUEsFBgAAAAAG&#10;AAYAWQEAAPcFAAAAAA==&#10;">
                      <v:fill on="t" focussize="0,0"/>
                      <v:stroke weight="0.5pt" color="#000000" joinstyle="round"/>
                      <v:imagedata o:title=""/>
                      <o:lock v:ext="edit" aspectratio="f"/>
                      <v:textbox>
                        <w:txbxContent>
                          <w:p w14:paraId="3F96C4C2">
                            <w:pPr>
                              <w:rPr>
                                <w:rFonts w:hint="default" w:eastAsia="仿宋_GB2312"/>
                                <w:sz w:val="18"/>
                                <w:szCs w:val="18"/>
                                <w:lang w:val="en-US" w:eastAsia="zh-CN"/>
                              </w:rPr>
                            </w:pPr>
                            <w:r>
                              <w:rPr>
                                <w:rFonts w:hint="eastAsia"/>
                                <w:sz w:val="18"/>
                                <w:szCs w:val="18"/>
                                <w:lang w:val="en-US" w:eastAsia="zh-CN"/>
                              </w:rPr>
                              <w:t>汇总提供员工花名册</w:t>
                            </w:r>
                          </w:p>
                        </w:txbxContent>
                      </v:textbox>
                    </v:shape>
                  </w:pict>
                </mc:Fallback>
              </mc:AlternateContent>
            </w:r>
          </w:p>
        </w:tc>
        <w:tc>
          <w:tcPr>
            <w:tcW w:w="3243" w:type="dxa"/>
            <w:noWrap w:val="0"/>
            <w:vAlign w:val="top"/>
          </w:tcPr>
          <w:p w14:paraId="623D3C95">
            <w:pPr>
              <w:keepNext w:val="0"/>
              <w:keepLines w:val="0"/>
              <w:pageBreakBefore w:val="0"/>
              <w:widowControl w:val="0"/>
              <w:kinsoku/>
              <w:wordWrap w:val="0"/>
              <w:overflowPunct/>
              <w:topLinePunct/>
              <w:autoSpaceDE/>
              <w:autoSpaceDN/>
              <w:bidi w:val="0"/>
              <w:adjustRightInd w:val="0"/>
              <w:snapToGrid w:val="0"/>
              <w:spacing w:line="620" w:lineRule="exact"/>
              <w:jc w:val="center"/>
              <w:textAlignment w:val="baseline"/>
              <w:rPr>
                <w:rFonts w:hint="eastAsia" w:ascii="方正小标宋简体" w:hAnsi="方正小标宋简体" w:eastAsia="方正小标宋简体" w:cs="方正小标宋简体"/>
                <w:color w:val="000000"/>
                <w:sz w:val="44"/>
                <w:szCs w:val="44"/>
                <w:highlight w:val="none"/>
                <w:vertAlign w:val="baseline"/>
                <w:lang w:val="en-US" w:eastAsia="zh-CN"/>
              </w:rPr>
            </w:pPr>
            <w:r>
              <w:rPr>
                <w:color w:val="000000"/>
                <w:sz w:val="32"/>
                <w:highlight w:val="none"/>
              </w:rPr>
              <mc:AlternateContent>
                <mc:Choice Requires="wps">
                  <w:drawing>
                    <wp:anchor distT="0" distB="0" distL="114300" distR="114300" simplePos="0" relativeHeight="251677696" behindDoc="0" locked="0" layoutInCell="1" allowOverlap="1">
                      <wp:simplePos x="0" y="0"/>
                      <wp:positionH relativeFrom="column">
                        <wp:posOffset>986790</wp:posOffset>
                      </wp:positionH>
                      <wp:positionV relativeFrom="paragraph">
                        <wp:posOffset>1057910</wp:posOffset>
                      </wp:positionV>
                      <wp:extent cx="17145" cy="1027430"/>
                      <wp:effectExtent l="55245" t="0" r="41910" b="1270"/>
                      <wp:wrapNone/>
                      <wp:docPr id="30" name="直接箭头连接符 30"/>
                      <wp:cNvGraphicFramePr/>
                      <a:graphic xmlns:a="http://schemas.openxmlformats.org/drawingml/2006/main">
                        <a:graphicData uri="http://schemas.microsoft.com/office/word/2010/wordprocessingShape">
                          <wps:wsp>
                            <wps:cNvCnPr/>
                            <wps:spPr>
                              <a:xfrm flipH="1" flipV="1">
                                <a:off x="0" y="0"/>
                                <a:ext cx="17145" cy="1027430"/>
                              </a:xfrm>
                              <a:prstGeom prst="straightConnector1">
                                <a:avLst/>
                              </a:prstGeom>
                              <a:noFill/>
                              <a:ln w="254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flip:x y;margin-left:77.7pt;margin-top:83.3pt;height:80.9pt;width:1.35pt;z-index:251677696;mso-width-relative:page;mso-height-relative:page;" filled="f" stroked="t" coordsize="21600,21600" o:gfxdata="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vcnRF2QAAAAsBAAAPAAAAAAAAAAEA&#10;IAAAACIAAABkcnMvZG93bnJldi54bWxQSwECFAAUAAAACACHTuJAuvHVVQ4CAADwAwAADgAAAAAA&#10;AAABACAAAAAoAQAAZHJzL2Uyb0RvYy54bWxQSwUGAAAAAAYABgBZAQAAqAUAAAAA&#10;">
                      <v:fill on="f" focussize="0,0"/>
                      <v:stroke weight="2pt" color="#000000" joinstyle="round" endarrow="open"/>
                      <v:imagedata o:title=""/>
                      <o:lock v:ext="edit" aspectratio="f"/>
                    </v:shape>
                  </w:pict>
                </mc:Fallback>
              </mc:AlternateContent>
            </w:r>
            <w:r>
              <w:rPr>
                <w:color w:val="000000"/>
                <w:sz w:val="32"/>
                <w:highlight w:val="none"/>
              </w:rPr>
              <mc:AlternateContent>
                <mc:Choice Requires="wps">
                  <w:drawing>
                    <wp:anchor distT="0" distB="0" distL="114300" distR="114300" simplePos="0" relativeHeight="251670528" behindDoc="0" locked="0" layoutInCell="1" allowOverlap="1">
                      <wp:simplePos x="0" y="0"/>
                      <wp:positionH relativeFrom="column">
                        <wp:posOffset>643890</wp:posOffset>
                      </wp:positionH>
                      <wp:positionV relativeFrom="paragraph">
                        <wp:posOffset>751840</wp:posOffset>
                      </wp:positionV>
                      <wp:extent cx="635000" cy="253365"/>
                      <wp:effectExtent l="4445" t="4445" r="8255" b="8890"/>
                      <wp:wrapNone/>
                      <wp:docPr id="16" name="文本框 16"/>
                      <wp:cNvGraphicFramePr/>
                      <a:graphic xmlns:a="http://schemas.openxmlformats.org/drawingml/2006/main">
                        <a:graphicData uri="http://schemas.microsoft.com/office/word/2010/wordprocessingShape">
                          <wps:wsp>
                            <wps:cNvSpPr txBox="1"/>
                            <wps:spPr>
                              <a:xfrm>
                                <a:off x="0" y="0"/>
                                <a:ext cx="635000" cy="253365"/>
                              </a:xfrm>
                              <a:prstGeom prst="rect">
                                <a:avLst/>
                              </a:prstGeom>
                              <a:solidFill>
                                <a:srgbClr val="FFFFFF"/>
                              </a:solidFill>
                              <a:ln w="6350">
                                <a:solidFill>
                                  <a:prstClr val="black"/>
                                </a:solidFill>
                              </a:ln>
                              <a:effectLst/>
                            </wps:spPr>
                            <wps:txbx>
                              <w:txbxContent>
                                <w:p w14:paraId="518951DB">
                                  <w:pPr>
                                    <w:rPr>
                                      <w:rFonts w:hint="default" w:eastAsia="仿宋_GB2312"/>
                                      <w:sz w:val="18"/>
                                      <w:szCs w:val="18"/>
                                      <w:lang w:val="en-US" w:eastAsia="zh-CN"/>
                                    </w:rPr>
                                  </w:pPr>
                                  <w:r>
                                    <w:rPr>
                                      <w:rFonts w:hint="eastAsia"/>
                                      <w:sz w:val="18"/>
                                      <w:szCs w:val="18"/>
                                      <w:lang w:val="en-US" w:eastAsia="zh-CN"/>
                                    </w:rPr>
                                    <w:t>领取卡片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7pt;margin-top:59.2pt;height:19.95pt;width:50pt;z-index:251670528;mso-width-relative:page;mso-height-relative:page;" fillcolor="#FFFFFF" filled="t" stroked="t" coordsize="21600,21600" o:gfxdata="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EOBaFbUAAAA&#10;CwEAAA8AAAAAAAAAAQAgAAAAIgAAAGRycy9kb3ducmV2LnhtbFBLAQIUABQAAAAIAIdO4kDAc4SV&#10;WgIAAMYEAAAOAAAAAAAAAAEAIAAAACMBAABkcnMvZTJvRG9jLnhtbFBLBQYAAAAABgAGAFkBAADv&#10;BQAAAAA=&#10;">
                      <v:fill on="t" focussize="0,0"/>
                      <v:stroke weight="0.5pt" color="#000000" joinstyle="round"/>
                      <v:imagedata o:title=""/>
                      <o:lock v:ext="edit" aspectratio="f"/>
                      <v:textbox>
                        <w:txbxContent>
                          <w:p w14:paraId="518951DB">
                            <w:pPr>
                              <w:rPr>
                                <w:rFonts w:hint="default" w:eastAsia="仿宋_GB2312"/>
                                <w:sz w:val="18"/>
                                <w:szCs w:val="18"/>
                                <w:lang w:val="en-US" w:eastAsia="zh-CN"/>
                              </w:rPr>
                            </w:pPr>
                            <w:r>
                              <w:rPr>
                                <w:rFonts w:hint="eastAsia"/>
                                <w:sz w:val="18"/>
                                <w:szCs w:val="18"/>
                                <w:lang w:val="en-US" w:eastAsia="zh-CN"/>
                              </w:rPr>
                              <w:t>领取卡片</w:t>
                            </w:r>
                          </w:p>
                        </w:txbxContent>
                      </v:textbox>
                    </v:shape>
                  </w:pict>
                </mc:Fallback>
              </mc:AlternateContent>
            </w:r>
          </w:p>
        </w:tc>
      </w:tr>
    </w:tbl>
    <w:p w14:paraId="719AB3DE">
      <w:pPr>
        <w:keepNext w:val="0"/>
        <w:keepLines w:val="0"/>
        <w:pageBreakBefore w:val="0"/>
        <w:widowControl w:val="0"/>
        <w:kinsoku/>
        <w:wordWrap w:val="0"/>
        <w:overflowPunct/>
        <w:topLinePunct/>
        <w:autoSpaceDE/>
        <w:autoSpaceDN/>
        <w:bidi w:val="0"/>
        <w:adjustRightInd w:val="0"/>
        <w:snapToGrid w:val="0"/>
        <w:spacing w:line="620" w:lineRule="exact"/>
        <w:jc w:val="both"/>
        <w:textAlignment w:val="baseline"/>
        <w:rPr>
          <w:rFonts w:hint="eastAsia" w:ascii="方正小标宋简体" w:hAnsi="方正小标宋简体" w:eastAsia="方正小标宋简体" w:cs="方正小标宋简体"/>
          <w:color w:val="000000"/>
          <w:sz w:val="44"/>
          <w:szCs w:val="44"/>
          <w:highlight w:val="none"/>
          <w:lang w:val="en-US" w:eastAsia="zh-CN"/>
        </w:rPr>
      </w:pPr>
    </w:p>
    <w:p w14:paraId="4F4C7CCF">
      <w:pPr>
        <w:keepNext w:val="0"/>
        <w:keepLines w:val="0"/>
        <w:pageBreakBefore w:val="0"/>
        <w:widowControl w:val="0"/>
        <w:kinsoku/>
        <w:wordWrap w:val="0"/>
        <w:overflowPunct/>
        <w:topLinePunct/>
        <w:autoSpaceDE/>
        <w:autoSpaceDN/>
        <w:bidi w:val="0"/>
        <w:adjustRightInd w:val="0"/>
        <w:snapToGrid w:val="0"/>
        <w:spacing w:line="620" w:lineRule="exact"/>
        <w:jc w:val="center"/>
        <w:textAlignment w:val="baseline"/>
        <w:rPr>
          <w:rFonts w:hint="eastAsia" w:ascii="方正小标宋简体" w:hAnsi="方正小标宋简体" w:eastAsia="方正小标宋简体" w:cs="方正小标宋简体"/>
          <w:color w:val="000000"/>
          <w:sz w:val="44"/>
          <w:szCs w:val="44"/>
          <w:highlight w:val="none"/>
          <w:lang w:val="en-US" w:eastAsia="zh-CN"/>
        </w:rPr>
      </w:pPr>
      <w:r>
        <w:rPr>
          <w:rFonts w:hint="eastAsia" w:ascii="方正小标宋简体" w:hAnsi="方正小标宋简体" w:eastAsia="方正小标宋简体" w:cs="方正小标宋简体"/>
          <w:color w:val="000000"/>
          <w:sz w:val="44"/>
          <w:szCs w:val="44"/>
          <w:highlight w:val="none"/>
          <w:lang w:val="en-US" w:eastAsia="zh-CN"/>
        </w:rPr>
        <w:t>工会会员服务卡节日、生日慰问费发放流程</w:t>
      </w:r>
    </w:p>
    <w:p w14:paraId="4F3A1A9A">
      <w:pPr>
        <w:keepNext w:val="0"/>
        <w:keepLines w:val="0"/>
        <w:pageBreakBefore w:val="0"/>
        <w:widowControl w:val="0"/>
        <w:kinsoku/>
        <w:wordWrap w:val="0"/>
        <w:overflowPunct/>
        <w:topLinePunct/>
        <w:autoSpaceDE/>
        <w:autoSpaceDN/>
        <w:bidi w:val="0"/>
        <w:adjustRightInd w:val="0"/>
        <w:snapToGrid w:val="0"/>
        <w:spacing w:line="620" w:lineRule="exact"/>
        <w:jc w:val="center"/>
        <w:textAlignment w:val="baseline"/>
        <w:rPr>
          <w:rFonts w:hint="eastAsia" w:ascii="方正小标宋简体" w:hAnsi="方正小标宋简体" w:eastAsia="方正小标宋简体" w:cs="方正小标宋简体"/>
          <w:color w:val="000000"/>
          <w:sz w:val="44"/>
          <w:szCs w:val="44"/>
          <w:highlight w:val="none"/>
          <w:lang w:val="en-US" w:eastAsia="zh-CN"/>
        </w:rPr>
      </w:pPr>
    </w:p>
    <w:tbl>
      <w:tblPr>
        <w:tblStyle w:val="5"/>
        <w:tblW w:w="13661" w:type="dxa"/>
        <w:tblInd w:w="-4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15"/>
        <w:gridCol w:w="3552"/>
        <w:gridCol w:w="3278"/>
        <w:gridCol w:w="3416"/>
      </w:tblGrid>
      <w:tr w14:paraId="3370F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15" w:type="dxa"/>
            <w:noWrap w:val="0"/>
            <w:vAlign w:val="center"/>
          </w:tcPr>
          <w:p w14:paraId="568F6390">
            <w:pPr>
              <w:keepNext w:val="0"/>
              <w:keepLines w:val="0"/>
              <w:pageBreakBefore w:val="0"/>
              <w:widowControl w:val="0"/>
              <w:kinsoku/>
              <w:wordWrap w:val="0"/>
              <w:overflowPunct/>
              <w:topLinePunct/>
              <w:autoSpaceDE/>
              <w:autoSpaceDN/>
              <w:bidi w:val="0"/>
              <w:adjustRightInd w:val="0"/>
              <w:snapToGrid w:val="0"/>
              <w:spacing w:line="620" w:lineRule="exact"/>
              <w:jc w:val="center"/>
              <w:textAlignment w:val="baseline"/>
              <w:rPr>
                <w:rFonts w:hint="default" w:ascii="仿宋_GB2312" w:hAnsi="仿宋_GB2312" w:cs="仿宋_GB2312"/>
                <w:color w:val="000000"/>
                <w:highlight w:val="none"/>
                <w:vertAlign w:val="baseline"/>
                <w:lang w:val="en-US" w:eastAsia="zh-CN"/>
              </w:rPr>
            </w:pPr>
            <w:r>
              <w:rPr>
                <w:rFonts w:hint="eastAsia" w:ascii="仿宋_GB2312" w:hAnsi="仿宋_GB2312" w:cs="仿宋_GB2312"/>
                <w:color w:val="000000"/>
                <w:highlight w:val="none"/>
                <w:vertAlign w:val="baseline"/>
                <w:lang w:val="en-US" w:eastAsia="zh-CN"/>
              </w:rPr>
              <w:t>金融机构（银行）</w:t>
            </w:r>
          </w:p>
        </w:tc>
        <w:tc>
          <w:tcPr>
            <w:tcW w:w="3552" w:type="dxa"/>
            <w:noWrap w:val="0"/>
            <w:vAlign w:val="center"/>
          </w:tcPr>
          <w:p w14:paraId="68BB444A">
            <w:pPr>
              <w:keepNext w:val="0"/>
              <w:keepLines w:val="0"/>
              <w:pageBreakBefore w:val="0"/>
              <w:widowControl w:val="0"/>
              <w:kinsoku/>
              <w:wordWrap w:val="0"/>
              <w:overflowPunct/>
              <w:topLinePunct/>
              <w:autoSpaceDE/>
              <w:autoSpaceDN/>
              <w:bidi w:val="0"/>
              <w:adjustRightInd w:val="0"/>
              <w:snapToGrid w:val="0"/>
              <w:spacing w:line="620" w:lineRule="exact"/>
              <w:jc w:val="center"/>
              <w:textAlignment w:val="baseline"/>
              <w:rPr>
                <w:rFonts w:hint="default" w:ascii="仿宋_GB2312" w:hAnsi="仿宋_GB2312" w:eastAsia="仿宋_GB2312" w:cs="仿宋_GB2312"/>
                <w:snapToGrid w:val="0"/>
                <w:color w:val="000000"/>
                <w:kern w:val="0"/>
                <w:sz w:val="32"/>
                <w:szCs w:val="32"/>
                <w:highlight w:val="none"/>
                <w:vertAlign w:val="baseline"/>
                <w:lang w:val="en-US" w:eastAsia="zh-CN" w:bidi="ar-SA"/>
              </w:rPr>
            </w:pPr>
            <w:r>
              <w:rPr>
                <w:rFonts w:hint="eastAsia" w:ascii="仿宋_GB2312" w:hAnsi="仿宋_GB2312" w:cs="仿宋_GB2312"/>
                <w:color w:val="000000"/>
                <w:highlight w:val="none"/>
                <w:vertAlign w:val="baseline"/>
                <w:lang w:val="en-US" w:eastAsia="zh-CN"/>
              </w:rPr>
              <w:t>工会小组</w:t>
            </w:r>
          </w:p>
        </w:tc>
        <w:tc>
          <w:tcPr>
            <w:tcW w:w="3278" w:type="dxa"/>
            <w:noWrap w:val="0"/>
            <w:vAlign w:val="center"/>
          </w:tcPr>
          <w:p w14:paraId="47004179">
            <w:pPr>
              <w:keepNext w:val="0"/>
              <w:keepLines w:val="0"/>
              <w:pageBreakBefore w:val="0"/>
              <w:widowControl w:val="0"/>
              <w:kinsoku/>
              <w:wordWrap w:val="0"/>
              <w:overflowPunct/>
              <w:topLinePunct/>
              <w:autoSpaceDE/>
              <w:autoSpaceDN/>
              <w:bidi w:val="0"/>
              <w:adjustRightInd w:val="0"/>
              <w:snapToGrid w:val="0"/>
              <w:spacing w:line="620" w:lineRule="exact"/>
              <w:jc w:val="center"/>
              <w:textAlignment w:val="baseline"/>
              <w:rPr>
                <w:rFonts w:hint="default" w:ascii="仿宋_GB2312" w:hAnsi="仿宋_GB2312" w:cs="仿宋_GB2312"/>
                <w:color w:val="000000"/>
                <w:highlight w:val="none"/>
                <w:vertAlign w:val="baseline"/>
                <w:lang w:val="en-US" w:eastAsia="zh-CN"/>
              </w:rPr>
            </w:pPr>
            <w:r>
              <w:rPr>
                <w:rFonts w:hint="eastAsia" w:ascii="仿宋_GB2312" w:hAnsi="仿宋_GB2312" w:cs="仿宋_GB2312"/>
                <w:color w:val="000000"/>
                <w:highlight w:val="none"/>
                <w:vertAlign w:val="baseline"/>
                <w:lang w:val="en-US" w:eastAsia="zh-CN"/>
              </w:rPr>
              <w:t>人力资源部</w:t>
            </w:r>
          </w:p>
        </w:tc>
        <w:tc>
          <w:tcPr>
            <w:tcW w:w="3416" w:type="dxa"/>
            <w:noWrap w:val="0"/>
            <w:vAlign w:val="center"/>
          </w:tcPr>
          <w:p w14:paraId="51AEADE6">
            <w:pPr>
              <w:keepNext w:val="0"/>
              <w:keepLines w:val="0"/>
              <w:pageBreakBefore w:val="0"/>
              <w:widowControl w:val="0"/>
              <w:kinsoku/>
              <w:wordWrap w:val="0"/>
              <w:overflowPunct/>
              <w:topLinePunct/>
              <w:autoSpaceDE/>
              <w:autoSpaceDN/>
              <w:bidi w:val="0"/>
              <w:adjustRightInd w:val="0"/>
              <w:snapToGrid w:val="0"/>
              <w:spacing w:line="620" w:lineRule="exact"/>
              <w:jc w:val="center"/>
              <w:textAlignment w:val="baseline"/>
              <w:rPr>
                <w:rFonts w:hint="default" w:ascii="仿宋_GB2312" w:hAnsi="仿宋_GB2312" w:cs="仿宋_GB2312"/>
                <w:color w:val="000000"/>
                <w:highlight w:val="none"/>
                <w:vertAlign w:val="baseline"/>
                <w:lang w:val="en-US" w:eastAsia="zh-CN"/>
              </w:rPr>
            </w:pPr>
            <w:r>
              <w:rPr>
                <w:rFonts w:hint="eastAsia" w:ascii="仿宋_GB2312" w:hAnsi="仿宋_GB2312" w:cs="仿宋_GB2312"/>
                <w:color w:val="000000"/>
                <w:highlight w:val="none"/>
                <w:vertAlign w:val="baseline"/>
                <w:lang w:val="en-US" w:eastAsia="zh-CN"/>
              </w:rPr>
              <w:t>工会会员</w:t>
            </w:r>
          </w:p>
        </w:tc>
      </w:tr>
      <w:tr w14:paraId="62F3C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1" w:hRule="atLeast"/>
        </w:trPr>
        <w:tc>
          <w:tcPr>
            <w:tcW w:w="3415" w:type="dxa"/>
            <w:noWrap w:val="0"/>
            <w:vAlign w:val="top"/>
          </w:tcPr>
          <w:p w14:paraId="1BC5AD81">
            <w:pPr>
              <w:keepNext w:val="0"/>
              <w:keepLines w:val="0"/>
              <w:pageBreakBefore w:val="0"/>
              <w:widowControl w:val="0"/>
              <w:kinsoku/>
              <w:wordWrap w:val="0"/>
              <w:overflowPunct/>
              <w:topLinePunct/>
              <w:autoSpaceDE/>
              <w:autoSpaceDN/>
              <w:bidi w:val="0"/>
              <w:adjustRightInd w:val="0"/>
              <w:snapToGrid w:val="0"/>
              <w:spacing w:line="620" w:lineRule="exact"/>
              <w:jc w:val="center"/>
              <w:textAlignment w:val="baseline"/>
              <w:rPr>
                <w:rFonts w:hint="default" w:ascii="仿宋_GB2312" w:hAnsi="仿宋_GB2312" w:cs="仿宋_GB2312"/>
                <w:color w:val="000000"/>
                <w:highlight w:val="none"/>
                <w:vertAlign w:val="baseline"/>
                <w:lang w:val="en-US" w:eastAsia="zh-CN"/>
              </w:rPr>
            </w:pPr>
            <w:r>
              <w:rPr>
                <w:color w:val="000000"/>
                <w:sz w:val="32"/>
                <w:highlight w:val="none"/>
              </w:rPr>
              <mc:AlternateContent>
                <mc:Choice Requires="wps">
                  <w:drawing>
                    <wp:anchor distT="0" distB="0" distL="114300" distR="114300" simplePos="0" relativeHeight="251666432" behindDoc="0" locked="0" layoutInCell="1" allowOverlap="1">
                      <wp:simplePos x="0" y="0"/>
                      <wp:positionH relativeFrom="column">
                        <wp:posOffset>635635</wp:posOffset>
                      </wp:positionH>
                      <wp:positionV relativeFrom="paragraph">
                        <wp:posOffset>1667510</wp:posOffset>
                      </wp:positionV>
                      <wp:extent cx="6318885" cy="8255"/>
                      <wp:effectExtent l="0" t="48895" r="5715" b="57150"/>
                      <wp:wrapNone/>
                      <wp:docPr id="31" name="直接箭头连接符 31"/>
                      <wp:cNvGraphicFramePr/>
                      <a:graphic xmlns:a="http://schemas.openxmlformats.org/drawingml/2006/main">
                        <a:graphicData uri="http://schemas.microsoft.com/office/word/2010/wordprocessingShape">
                          <wps:wsp>
                            <wps:cNvCnPr>
                              <a:endCxn id="44" idx="1"/>
                            </wps:cNvCnPr>
                            <wps:spPr>
                              <a:xfrm>
                                <a:off x="1616710" y="4191000"/>
                                <a:ext cx="6318885" cy="8255"/>
                              </a:xfrm>
                              <a:prstGeom prst="straightConnector1">
                                <a:avLst/>
                              </a:prstGeom>
                              <a:noFill/>
                              <a:ln w="254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margin-left:50.05pt;margin-top:131.3pt;height:0.65pt;width:497.55pt;z-index:251666432;mso-width-relative:page;mso-height-relative:page;" filled="f" stroked="t" coordsize="21600,21600" o:gfxdata="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JYg&#10;wNoAAAAMAQAADwAAAAAAAAABACAAAAAiAAAAZHJzL2Rvd25yZXYueG1sUEsBAhQAFAAAAAgAh07i&#10;QMbJAk8gAgAADwQAAA4AAAAAAAAAAQAgAAAAKQEAAGRycy9lMm9Eb2MueG1sUEsFBgAAAAAGAAYA&#10;WQEAALsFAAAAAA==&#10;">
                      <v:fill on="f" focussize="0,0"/>
                      <v:stroke weight="2pt" color="#000000" joinstyle="round" endarrow="open"/>
                      <v:imagedata o:title=""/>
                      <o:lock v:ext="edit" aspectratio="f"/>
                    </v:shape>
                  </w:pict>
                </mc:Fallback>
              </mc:AlternateContent>
            </w:r>
            <w:r>
              <w:rPr>
                <w:color w:val="000000"/>
                <w:sz w:val="32"/>
                <w:highlight w:val="none"/>
              </w:rPr>
              <mc:AlternateContent>
                <mc:Choice Requires="wps">
                  <w:drawing>
                    <wp:anchor distT="0" distB="0" distL="114300" distR="114300" simplePos="0" relativeHeight="251665408" behindDoc="0" locked="0" layoutInCell="1" allowOverlap="1">
                      <wp:simplePos x="0" y="0"/>
                      <wp:positionH relativeFrom="column">
                        <wp:posOffset>631825</wp:posOffset>
                      </wp:positionH>
                      <wp:positionV relativeFrom="paragraph">
                        <wp:posOffset>528955</wp:posOffset>
                      </wp:positionV>
                      <wp:extent cx="12700" cy="1083310"/>
                      <wp:effectExtent l="12700" t="0" r="12700" b="2540"/>
                      <wp:wrapNone/>
                      <wp:docPr id="32" name="直接连接符 32"/>
                      <wp:cNvGraphicFramePr/>
                      <a:graphic xmlns:a="http://schemas.openxmlformats.org/drawingml/2006/main">
                        <a:graphicData uri="http://schemas.microsoft.com/office/word/2010/wordprocessingShape">
                          <wps:wsp>
                            <wps:cNvCnPr>
                              <a:stCxn id="34" idx="2"/>
                            </wps:cNvCnPr>
                            <wps:spPr>
                              <a:xfrm flipH="1">
                                <a:off x="1621155" y="3124200"/>
                                <a:ext cx="12700" cy="1083310"/>
                              </a:xfrm>
                              <a:prstGeom prst="line">
                                <a:avLst/>
                              </a:prstGeom>
                              <a:noFill/>
                              <a:ln w="25400" cap="flat" cmpd="sng" algn="ctr">
                                <a:solidFill>
                                  <a:srgbClr val="000000"/>
                                </a:solidFill>
                                <a:prstDash val="solid"/>
                              </a:ln>
                              <a:effectLst/>
                            </wps:spPr>
                            <wps:bodyPr/>
                          </wps:wsp>
                        </a:graphicData>
                      </a:graphic>
                    </wp:anchor>
                  </w:drawing>
                </mc:Choice>
                <mc:Fallback>
                  <w:pict>
                    <v:line id="_x0000_s1026" o:spid="_x0000_s1026" o:spt="20" style="position:absolute;left:0pt;flip:x;margin-left:49.75pt;margin-top:41.65pt;height:85.3pt;width:1pt;z-index:251665408;mso-width-relative:page;mso-height-relative:page;" filled="f" stroked="t" coordsize="21600,21600" o:gfxdata="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5/oyKNYAAAAJAQAADwAAAAAAAAABACAAAAAiAAAAZHJz&#10;L2Rvd25yZXYueG1sUEsBAhQAFAAAAAgAh07iQGqNFycGAgAA7AMAAA4AAAAAAAAAAQAgAAAAJQEA&#10;AGRycy9lMm9Eb2MueG1sUEsFBgAAAAAGAAYAWQEAAJ0FAAAAAA==&#10;">
                      <v:fill on="f" focussize="0,0"/>
                      <v:stroke weight="2pt" color="#000000" joinstyle="round"/>
                      <v:imagedata o:title=""/>
                      <o:lock v:ext="edit" aspectratio="f"/>
                    </v:line>
                  </w:pict>
                </mc:Fallback>
              </mc:AlternateContent>
            </w:r>
            <w:r>
              <w:rPr>
                <w:color w:val="000000"/>
                <w:sz w:val="32"/>
                <w:highlight w:val="none"/>
              </w:rPr>
              <mc:AlternateContent>
                <mc:Choice Requires="wps">
                  <w:drawing>
                    <wp:anchor distT="0" distB="0" distL="114300" distR="114300" simplePos="0" relativeHeight="251664384" behindDoc="0" locked="0" layoutInCell="1" allowOverlap="1">
                      <wp:simplePos x="0" y="0"/>
                      <wp:positionH relativeFrom="column">
                        <wp:posOffset>1061085</wp:posOffset>
                      </wp:positionH>
                      <wp:positionV relativeFrom="paragraph">
                        <wp:posOffset>402590</wp:posOffset>
                      </wp:positionV>
                      <wp:extent cx="1454785" cy="21590"/>
                      <wp:effectExtent l="0" t="55880" r="12065" b="36830"/>
                      <wp:wrapNone/>
                      <wp:docPr id="33" name="直接箭头连接符 33"/>
                      <wp:cNvGraphicFramePr/>
                      <a:graphic xmlns:a="http://schemas.openxmlformats.org/drawingml/2006/main">
                        <a:graphicData uri="http://schemas.microsoft.com/office/word/2010/wordprocessingShape">
                          <wps:wsp>
                            <wps:cNvCnPr>
                              <a:stCxn id="40" idx="1"/>
                              <a:endCxn id="34" idx="3"/>
                            </wps:cNvCnPr>
                            <wps:spPr>
                              <a:xfrm flipH="1" flipV="1">
                                <a:off x="2042160" y="2997835"/>
                                <a:ext cx="1454785" cy="21590"/>
                              </a:xfrm>
                              <a:prstGeom prst="straightConnector1">
                                <a:avLst/>
                              </a:prstGeom>
                              <a:noFill/>
                              <a:ln w="254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flip:x y;margin-left:83.55pt;margin-top:31.7pt;height:1.7pt;width:114.55pt;z-index:251664384;mso-width-relative:page;mso-height-relative:page;" filled="f" stroked="t" coordsize="21600,21600" o:gfxdata="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GUVn13YAAAACQEAAA8AAAAAAAAAAQAgAAAAIgAAAGRycy9kb3ducmV2&#10;LnhtbFBLAQIUABQAAAAIAIdO4kBMupmDNQIAAD4EAAAOAAAAAAAAAAEAIAAAACcBAABkcnMvZTJv&#10;RG9jLnhtbFBLBQYAAAAABgAGAFkBAADOBQAAAAA=&#10;">
                      <v:fill on="f" focussize="0,0"/>
                      <v:stroke weight="2pt" color="#000000" joinstyle="round" endarrow="open"/>
                      <v:imagedata o:title=""/>
                      <o:lock v:ext="edit" aspectratio="f"/>
                    </v:shape>
                  </w:pict>
                </mc:Fallback>
              </mc:AlternateContent>
            </w:r>
            <w:r>
              <w:rPr>
                <w:color w:val="000000"/>
                <w:sz w:val="32"/>
                <w:highlight w:val="none"/>
              </w:rPr>
              <mc:AlternateContent>
                <mc:Choice Requires="wps">
                  <w:drawing>
                    <wp:anchor distT="0" distB="0" distL="114300" distR="114300" simplePos="0" relativeHeight="251661312" behindDoc="0" locked="0" layoutInCell="1" allowOverlap="1">
                      <wp:simplePos x="0" y="0"/>
                      <wp:positionH relativeFrom="column">
                        <wp:posOffset>227965</wp:posOffset>
                      </wp:positionH>
                      <wp:positionV relativeFrom="paragraph">
                        <wp:posOffset>275590</wp:posOffset>
                      </wp:positionV>
                      <wp:extent cx="833120" cy="253365"/>
                      <wp:effectExtent l="4445" t="4445" r="19685" b="8890"/>
                      <wp:wrapNone/>
                      <wp:docPr id="34" name="文本框 34"/>
                      <wp:cNvGraphicFramePr/>
                      <a:graphic xmlns:a="http://schemas.openxmlformats.org/drawingml/2006/main">
                        <a:graphicData uri="http://schemas.microsoft.com/office/word/2010/wordprocessingShape">
                          <wps:wsp>
                            <wps:cNvSpPr txBox="1"/>
                            <wps:spPr>
                              <a:xfrm>
                                <a:off x="0" y="0"/>
                                <a:ext cx="833120" cy="253365"/>
                              </a:xfrm>
                              <a:prstGeom prst="rect">
                                <a:avLst/>
                              </a:prstGeom>
                              <a:solidFill>
                                <a:srgbClr val="FFFFFF"/>
                              </a:solidFill>
                              <a:ln w="6350">
                                <a:solidFill>
                                  <a:prstClr val="black"/>
                                </a:solidFill>
                              </a:ln>
                              <a:effectLst/>
                            </wps:spPr>
                            <wps:txbx>
                              <w:txbxContent>
                                <w:p w14:paraId="32965C62">
                                  <w:pPr>
                                    <w:ind w:firstLine="180" w:firstLineChars="100"/>
                                    <w:rPr>
                                      <w:rFonts w:hint="default" w:eastAsia="仿宋_GB2312"/>
                                      <w:sz w:val="18"/>
                                      <w:szCs w:val="18"/>
                                      <w:lang w:val="en-US" w:eastAsia="zh-CN"/>
                                    </w:rPr>
                                  </w:pPr>
                                  <w:r>
                                    <w:rPr>
                                      <w:rFonts w:hint="eastAsia"/>
                                      <w:sz w:val="18"/>
                                      <w:szCs w:val="18"/>
                                      <w:lang w:val="en-US" w:eastAsia="zh-CN"/>
                                    </w:rPr>
                                    <w:t>财务办理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95pt;margin-top:21.7pt;height:19.95pt;width:65.6pt;z-index:251661312;mso-width-relative:page;mso-height-relative:page;" fillcolor="#FFFFFF" filled="t" stroked="t" coordsize="21600,21600" o:gfxdata="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CE5zc&#10;1QAAAAgBAAAPAAAAAAAAAAEAIAAAACIAAABkcnMvZG93bnJldi54bWxQSwECFAAUAAAACACHTuJA&#10;i+MYhV0CAADGBAAADgAAAAAAAAABACAAAAAkAQAAZHJzL2Uyb0RvYy54bWxQSwUGAAAAAAYABgBZ&#10;AQAA8wUAAAAA&#10;">
                      <v:fill on="t" focussize="0,0"/>
                      <v:stroke weight="0.5pt" color="#000000" joinstyle="round"/>
                      <v:imagedata o:title=""/>
                      <o:lock v:ext="edit" aspectratio="f"/>
                      <v:textbox>
                        <w:txbxContent>
                          <w:p w14:paraId="32965C62">
                            <w:pPr>
                              <w:ind w:firstLine="180" w:firstLineChars="100"/>
                              <w:rPr>
                                <w:rFonts w:hint="default" w:eastAsia="仿宋_GB2312"/>
                                <w:sz w:val="18"/>
                                <w:szCs w:val="18"/>
                                <w:lang w:val="en-US" w:eastAsia="zh-CN"/>
                              </w:rPr>
                            </w:pPr>
                            <w:r>
                              <w:rPr>
                                <w:rFonts w:hint="eastAsia"/>
                                <w:sz w:val="18"/>
                                <w:szCs w:val="18"/>
                                <w:lang w:val="en-US" w:eastAsia="zh-CN"/>
                              </w:rPr>
                              <w:t>财务办理</w:t>
                            </w:r>
                          </w:p>
                        </w:txbxContent>
                      </v:textbox>
                    </v:shape>
                  </w:pict>
                </mc:Fallback>
              </mc:AlternateContent>
            </w:r>
          </w:p>
        </w:tc>
        <w:tc>
          <w:tcPr>
            <w:tcW w:w="3552" w:type="dxa"/>
            <w:noWrap w:val="0"/>
            <w:vAlign w:val="top"/>
          </w:tcPr>
          <w:p w14:paraId="3094E390">
            <w:pPr>
              <w:keepNext w:val="0"/>
              <w:keepLines w:val="0"/>
              <w:pageBreakBefore w:val="0"/>
              <w:widowControl w:val="0"/>
              <w:kinsoku/>
              <w:wordWrap w:val="0"/>
              <w:overflowPunct/>
              <w:topLinePunct/>
              <w:autoSpaceDE/>
              <w:autoSpaceDN/>
              <w:bidi w:val="0"/>
              <w:adjustRightInd w:val="0"/>
              <w:snapToGrid w:val="0"/>
              <w:spacing w:line="620" w:lineRule="exact"/>
              <w:jc w:val="center"/>
              <w:textAlignment w:val="baseline"/>
              <w:rPr>
                <w:rFonts w:hint="default" w:ascii="仿宋_GB2312" w:hAnsi="仿宋_GB2312" w:cs="仿宋_GB2312"/>
                <w:color w:val="000000"/>
                <w:highlight w:val="none"/>
                <w:vertAlign w:val="baseline"/>
                <w:lang w:val="en-US" w:eastAsia="zh-CN"/>
              </w:rPr>
            </w:pPr>
            <w:r>
              <w:rPr>
                <w:color w:val="000000"/>
                <w:sz w:val="32"/>
                <w:highlight w:val="none"/>
              </w:rPr>
              <mc:AlternateContent>
                <mc:Choice Requires="wps">
                  <w:drawing>
                    <wp:anchor distT="0" distB="0" distL="114300" distR="114300" simplePos="0" relativeHeight="251660288" behindDoc="0" locked="0" layoutInCell="1" allowOverlap="1">
                      <wp:simplePos x="0" y="0"/>
                      <wp:positionH relativeFrom="column">
                        <wp:posOffset>347345</wp:posOffset>
                      </wp:positionH>
                      <wp:positionV relativeFrom="paragraph">
                        <wp:posOffset>284480</wp:posOffset>
                      </wp:positionV>
                      <wp:extent cx="1260475" cy="278765"/>
                      <wp:effectExtent l="4445" t="4445" r="11430" b="21590"/>
                      <wp:wrapNone/>
                      <wp:docPr id="40" name="文本框 40"/>
                      <wp:cNvGraphicFramePr/>
                      <a:graphic xmlns:a="http://schemas.openxmlformats.org/drawingml/2006/main">
                        <a:graphicData uri="http://schemas.microsoft.com/office/word/2010/wordprocessingShape">
                          <wps:wsp>
                            <wps:cNvSpPr txBox="1"/>
                            <wps:spPr>
                              <a:xfrm>
                                <a:off x="0" y="0"/>
                                <a:ext cx="1260475" cy="278765"/>
                              </a:xfrm>
                              <a:prstGeom prst="rect">
                                <a:avLst/>
                              </a:prstGeom>
                              <a:solidFill>
                                <a:srgbClr val="FFFFFF"/>
                              </a:solidFill>
                              <a:ln w="6350">
                                <a:solidFill>
                                  <a:prstClr val="black"/>
                                </a:solidFill>
                              </a:ln>
                              <a:effectLst/>
                            </wps:spPr>
                            <wps:txbx>
                              <w:txbxContent>
                                <w:p w14:paraId="37C74F7B">
                                  <w:pPr>
                                    <w:rPr>
                                      <w:rFonts w:hint="default" w:eastAsia="仿宋_GB2312"/>
                                      <w:sz w:val="18"/>
                                      <w:szCs w:val="18"/>
                                      <w:lang w:val="en-US" w:eastAsia="zh-CN"/>
                                    </w:rPr>
                                  </w:pPr>
                                  <w:r>
                                    <w:rPr>
                                      <w:rFonts w:hint="eastAsia"/>
                                      <w:sz w:val="18"/>
                                      <w:szCs w:val="18"/>
                                      <w:lang w:val="en-US" w:eastAsia="zh-CN"/>
                                    </w:rPr>
                                    <w:t>审核并办理资金支付</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35pt;margin-top:22.4pt;height:21.95pt;width:99.25pt;z-index:251660288;mso-width-relative:page;mso-height-relative:page;" fillcolor="#FFFFFF" filled="t" stroked="t" coordsize="21600,21600" o:gfxdata="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B7E8IdYAAAAIAQAADwAAAAAAAAABACAAAAAiAAAAZHJzL2Rvd25yZXYueG1sUEsBAhQAFAAAAAgA&#10;h07iQNqqwF9gAgAAxwQAAA4AAAAAAAAAAQAgAAAAJQEAAGRycy9lMm9Eb2MueG1sUEsFBgAAAAAG&#10;AAYAWQEAAPcFAAAAAA==&#10;">
                      <v:fill on="t" focussize="0,0"/>
                      <v:stroke weight="0.5pt" color="#000000" joinstyle="round"/>
                      <v:imagedata o:title=""/>
                      <o:lock v:ext="edit" aspectratio="f"/>
                      <v:textbox>
                        <w:txbxContent>
                          <w:p w14:paraId="37C74F7B">
                            <w:pPr>
                              <w:rPr>
                                <w:rFonts w:hint="default" w:eastAsia="仿宋_GB2312"/>
                                <w:sz w:val="18"/>
                                <w:szCs w:val="18"/>
                                <w:lang w:val="en-US" w:eastAsia="zh-CN"/>
                              </w:rPr>
                            </w:pPr>
                            <w:r>
                              <w:rPr>
                                <w:rFonts w:hint="eastAsia"/>
                                <w:sz w:val="18"/>
                                <w:szCs w:val="18"/>
                                <w:lang w:val="en-US" w:eastAsia="zh-CN"/>
                              </w:rPr>
                              <w:t>审核并办理资金支付</w:t>
                            </w:r>
                          </w:p>
                        </w:txbxContent>
                      </v:textbox>
                    </v:shape>
                  </w:pict>
                </mc:Fallback>
              </mc:AlternateContent>
            </w:r>
            <w:r>
              <w:rPr>
                <w:color w:val="000000"/>
                <w:sz w:val="32"/>
                <w:highlight w:val="none"/>
              </w:rPr>
              <mc:AlternateContent>
                <mc:Choice Requires="wps">
                  <w:drawing>
                    <wp:anchor distT="0" distB="0" distL="114300" distR="114300" simplePos="0" relativeHeight="251663360" behindDoc="0" locked="0" layoutInCell="1" allowOverlap="1">
                      <wp:simplePos x="0" y="0"/>
                      <wp:positionH relativeFrom="column">
                        <wp:posOffset>1607820</wp:posOffset>
                      </wp:positionH>
                      <wp:positionV relativeFrom="paragraph">
                        <wp:posOffset>424180</wp:posOffset>
                      </wp:positionV>
                      <wp:extent cx="1010285" cy="9525"/>
                      <wp:effectExtent l="0" t="55880" r="18415" b="48895"/>
                      <wp:wrapNone/>
                      <wp:docPr id="39" name="直接箭头连接符 39"/>
                      <wp:cNvGraphicFramePr/>
                      <a:graphic xmlns:a="http://schemas.openxmlformats.org/drawingml/2006/main">
                        <a:graphicData uri="http://schemas.microsoft.com/office/word/2010/wordprocessingShape">
                          <wps:wsp>
                            <wps:cNvCnPr>
                              <a:stCxn id="41" idx="1"/>
                              <a:endCxn id="40" idx="3"/>
                            </wps:cNvCnPr>
                            <wps:spPr>
                              <a:xfrm flipH="1" flipV="1">
                                <a:off x="5357495" y="3019425"/>
                                <a:ext cx="1010285" cy="9525"/>
                              </a:xfrm>
                              <a:prstGeom prst="straightConnector1">
                                <a:avLst/>
                              </a:prstGeom>
                              <a:noFill/>
                              <a:ln w="254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flip:x y;margin-left:126.6pt;margin-top:33.4pt;height:0.75pt;width:79.55pt;z-index:251663360;mso-width-relative:page;mso-height-relative:page;" filled="f" stroked="t" coordsize="21600,21600" o:gfxdata="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Ne8BJ3YAAAACQEAAA8AAAAAAAAAAQAgAAAAIgAAAGRycy9kb3ducmV2Lnht&#10;bFBLAQIUABQAAAAIAIdO4kCEY3zvMgIAAD0EAAAOAAAAAAAAAAEAIAAAACcBAABkcnMvZTJvRG9j&#10;LnhtbFBLBQYAAAAABgAGAFkBAADLBQAAAAA=&#10;">
                      <v:fill on="f" focussize="0,0"/>
                      <v:stroke weight="2pt" color="#000000" joinstyle="round" endarrow="open"/>
                      <v:imagedata o:title=""/>
                      <o:lock v:ext="edit" aspectratio="f"/>
                    </v:shape>
                  </w:pict>
                </mc:Fallback>
              </mc:AlternateContent>
            </w:r>
          </w:p>
        </w:tc>
        <w:tc>
          <w:tcPr>
            <w:tcW w:w="3278" w:type="dxa"/>
            <w:noWrap w:val="0"/>
            <w:vAlign w:val="top"/>
          </w:tcPr>
          <w:p w14:paraId="0A11D340">
            <w:pPr>
              <w:keepNext w:val="0"/>
              <w:keepLines w:val="0"/>
              <w:pageBreakBefore w:val="0"/>
              <w:widowControl w:val="0"/>
              <w:kinsoku/>
              <w:wordWrap w:val="0"/>
              <w:overflowPunct/>
              <w:topLinePunct/>
              <w:autoSpaceDE/>
              <w:autoSpaceDN/>
              <w:bidi w:val="0"/>
              <w:adjustRightInd w:val="0"/>
              <w:snapToGrid w:val="0"/>
              <w:spacing w:line="620" w:lineRule="exact"/>
              <w:jc w:val="center"/>
              <w:textAlignment w:val="baseline"/>
              <w:rPr>
                <w:rFonts w:hint="default" w:ascii="仿宋_GB2312" w:hAnsi="仿宋_GB2312" w:cs="仿宋_GB2312"/>
                <w:color w:val="000000"/>
                <w:highlight w:val="none"/>
                <w:vertAlign w:val="baseline"/>
                <w:lang w:val="en-US" w:eastAsia="zh-CN"/>
              </w:rPr>
            </w:pPr>
            <w:r>
              <w:rPr>
                <w:color w:val="000000"/>
                <w:sz w:val="32"/>
                <w:highlight w:val="none"/>
              </w:rPr>
              <mc:AlternateContent>
                <mc:Choice Requires="wps">
                  <w:drawing>
                    <wp:anchor distT="0" distB="0" distL="114300" distR="114300" simplePos="0" relativeHeight="251659264" behindDoc="0" locked="0" layoutInCell="1" allowOverlap="1">
                      <wp:simplePos x="0" y="0"/>
                      <wp:positionH relativeFrom="column">
                        <wp:posOffset>362585</wp:posOffset>
                      </wp:positionH>
                      <wp:positionV relativeFrom="paragraph">
                        <wp:posOffset>66675</wp:posOffset>
                      </wp:positionV>
                      <wp:extent cx="1508760" cy="734060"/>
                      <wp:effectExtent l="4445" t="4445" r="10795" b="23495"/>
                      <wp:wrapNone/>
                      <wp:docPr id="41" name="文本框 41"/>
                      <wp:cNvGraphicFramePr/>
                      <a:graphic xmlns:a="http://schemas.openxmlformats.org/drawingml/2006/main">
                        <a:graphicData uri="http://schemas.microsoft.com/office/word/2010/wordprocessingShape">
                          <wps:wsp>
                            <wps:cNvSpPr txBox="1"/>
                            <wps:spPr>
                              <a:xfrm>
                                <a:off x="0" y="0"/>
                                <a:ext cx="1508760" cy="734060"/>
                              </a:xfrm>
                              <a:prstGeom prst="rect">
                                <a:avLst/>
                              </a:prstGeom>
                              <a:solidFill>
                                <a:srgbClr val="FFFFFF"/>
                              </a:solidFill>
                              <a:ln w="6350">
                                <a:solidFill>
                                  <a:prstClr val="black"/>
                                </a:solidFill>
                              </a:ln>
                              <a:effectLst/>
                            </wps:spPr>
                            <wps:txbx>
                              <w:txbxContent>
                                <w:p w14:paraId="320C4984">
                                  <w:pPr>
                                    <w:rPr>
                                      <w:rFonts w:hint="default"/>
                                      <w:lang w:val="en-US" w:eastAsia="zh-CN"/>
                                    </w:rPr>
                                  </w:pPr>
                                  <w:r>
                                    <w:rPr>
                                      <w:rFonts w:hint="eastAsia"/>
                                      <w:sz w:val="18"/>
                                      <w:szCs w:val="18"/>
                                      <w:lang w:val="en-US" w:eastAsia="zh-CN"/>
                                    </w:rPr>
                                    <w:t>届时根据校工会通知，及时提供员工花名册，校工会核实节日、生日慰问的会员信息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55pt;margin-top:5.25pt;height:57.8pt;width:118.8pt;z-index:251659264;mso-width-relative:page;mso-height-relative:page;" fillcolor="#FFFFFF" filled="t" stroked="t" coordsize="21600,21600" o:gfxdata="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Zb&#10;ll7WAAAACQEAAA8AAAAAAAAAAQAgAAAAIgAAAGRycy9kb3ducmV2LnhtbFBLAQIUABQAAAAIAIdO&#10;4kDNx0AgXgIAAMcEAAAOAAAAAAAAAAEAIAAAACUBAABkcnMvZTJvRG9jLnhtbFBLBQYAAAAABgAG&#10;AFkBAAD1BQAAAAA=&#10;">
                      <v:fill on="t" focussize="0,0"/>
                      <v:stroke weight="0.5pt" color="#000000" joinstyle="round"/>
                      <v:imagedata o:title=""/>
                      <o:lock v:ext="edit" aspectratio="f"/>
                      <v:textbox>
                        <w:txbxContent>
                          <w:p w14:paraId="320C4984">
                            <w:pPr>
                              <w:rPr>
                                <w:rFonts w:hint="default"/>
                                <w:lang w:val="en-US" w:eastAsia="zh-CN"/>
                              </w:rPr>
                            </w:pPr>
                            <w:r>
                              <w:rPr>
                                <w:rFonts w:hint="eastAsia"/>
                                <w:sz w:val="18"/>
                                <w:szCs w:val="18"/>
                                <w:lang w:val="en-US" w:eastAsia="zh-CN"/>
                              </w:rPr>
                              <w:t>届时根据校工会通知，及时提供员工花名册，校工会核实节日、生日慰问的会员信息</w:t>
                            </w:r>
                          </w:p>
                        </w:txbxContent>
                      </v:textbox>
                    </v:shape>
                  </w:pict>
                </mc:Fallback>
              </mc:AlternateContent>
            </w:r>
          </w:p>
        </w:tc>
        <w:tc>
          <w:tcPr>
            <w:tcW w:w="3416" w:type="dxa"/>
            <w:noWrap w:val="0"/>
            <w:vAlign w:val="top"/>
          </w:tcPr>
          <w:p w14:paraId="05871EC7">
            <w:pPr>
              <w:keepNext w:val="0"/>
              <w:keepLines w:val="0"/>
              <w:pageBreakBefore w:val="0"/>
              <w:widowControl w:val="0"/>
              <w:kinsoku/>
              <w:wordWrap w:val="0"/>
              <w:overflowPunct/>
              <w:topLinePunct/>
              <w:autoSpaceDE/>
              <w:autoSpaceDN/>
              <w:bidi w:val="0"/>
              <w:adjustRightInd w:val="0"/>
              <w:snapToGrid w:val="0"/>
              <w:spacing w:line="620" w:lineRule="exact"/>
              <w:jc w:val="center"/>
              <w:textAlignment w:val="baseline"/>
              <w:rPr>
                <w:rFonts w:hint="default" w:ascii="仿宋_GB2312" w:hAnsi="仿宋_GB2312" w:cs="仿宋_GB2312"/>
                <w:color w:val="000000"/>
                <w:highlight w:val="none"/>
                <w:vertAlign w:val="baseline"/>
                <w:lang w:val="en-US" w:eastAsia="zh-CN"/>
              </w:rPr>
            </w:pPr>
            <w:r>
              <w:rPr>
                <w:color w:val="000000"/>
                <w:sz w:val="32"/>
                <w:highlight w:val="none"/>
              </w:rPr>
              <mc:AlternateContent>
                <mc:Choice Requires="wps">
                  <w:drawing>
                    <wp:anchor distT="0" distB="0" distL="114300" distR="114300" simplePos="0" relativeHeight="251662336" behindDoc="0" locked="0" layoutInCell="1" allowOverlap="1">
                      <wp:simplePos x="0" y="0"/>
                      <wp:positionH relativeFrom="column">
                        <wp:posOffset>448945</wp:posOffset>
                      </wp:positionH>
                      <wp:positionV relativeFrom="paragraph">
                        <wp:posOffset>1485265</wp:posOffset>
                      </wp:positionV>
                      <wp:extent cx="1325245" cy="380365"/>
                      <wp:effectExtent l="4445" t="4445" r="22860" b="15240"/>
                      <wp:wrapNone/>
                      <wp:docPr id="44" name="文本框 44"/>
                      <wp:cNvGraphicFramePr/>
                      <a:graphic xmlns:a="http://schemas.openxmlformats.org/drawingml/2006/main">
                        <a:graphicData uri="http://schemas.microsoft.com/office/word/2010/wordprocessingShape">
                          <wps:wsp>
                            <wps:cNvSpPr txBox="1"/>
                            <wps:spPr>
                              <a:xfrm>
                                <a:off x="0" y="0"/>
                                <a:ext cx="1325245" cy="253365"/>
                              </a:xfrm>
                              <a:prstGeom prst="rect">
                                <a:avLst/>
                              </a:prstGeom>
                              <a:solidFill>
                                <a:srgbClr val="FFFFFF"/>
                              </a:solidFill>
                              <a:ln w="6350">
                                <a:solidFill>
                                  <a:prstClr val="black"/>
                                </a:solidFill>
                              </a:ln>
                              <a:effectLst/>
                            </wps:spPr>
                            <wps:txbx>
                              <w:txbxContent>
                                <w:p w14:paraId="7528D0FB">
                                  <w:pPr>
                                    <w:rPr>
                                      <w:rFonts w:hint="default" w:eastAsia="仿宋_GB2312"/>
                                      <w:sz w:val="18"/>
                                      <w:szCs w:val="18"/>
                                      <w:lang w:val="en-US" w:eastAsia="zh-CN"/>
                                    </w:rPr>
                                  </w:pPr>
                                  <w:r>
                                    <w:rPr>
                                      <w:rFonts w:hint="eastAsia"/>
                                      <w:sz w:val="18"/>
                                      <w:szCs w:val="18"/>
                                      <w:lang w:val="en-US" w:eastAsia="zh-CN"/>
                                    </w:rPr>
                                    <w:t>会员使用服务卡消费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35pt;margin-top:116.95pt;height:29.95pt;width:104.35pt;z-index:251662336;mso-width-relative:page;mso-height-relative:page;" fillcolor="#FFFFFF" filled="t" stroked="t" coordsize="21600,21600" o:gfxdata="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nQLZZ9cAAAAKAQAADwAAAAAAAAABACAAAAAiAAAAZHJzL2Rvd25yZXYueG1sUEsBAhQAFAAAAAgA&#10;h07iQGcqgv1fAgAAxwQAAA4AAAAAAAAAAQAgAAAAJgEAAGRycy9lMm9Eb2MueG1sUEsFBgAAAAAG&#10;AAYAWQEAAPcFAAAAAA==&#10;">
                      <v:fill on="t" focussize="0,0"/>
                      <v:stroke weight="0.5pt" color="#000000" joinstyle="round"/>
                      <v:imagedata o:title=""/>
                      <o:lock v:ext="edit" aspectratio="f"/>
                      <v:textbox>
                        <w:txbxContent>
                          <w:p w14:paraId="7528D0FB">
                            <w:pPr>
                              <w:rPr>
                                <w:rFonts w:hint="default" w:eastAsia="仿宋_GB2312"/>
                                <w:sz w:val="18"/>
                                <w:szCs w:val="18"/>
                                <w:lang w:val="en-US" w:eastAsia="zh-CN"/>
                              </w:rPr>
                            </w:pPr>
                            <w:r>
                              <w:rPr>
                                <w:rFonts w:hint="eastAsia"/>
                                <w:sz w:val="18"/>
                                <w:szCs w:val="18"/>
                                <w:lang w:val="en-US" w:eastAsia="zh-CN"/>
                              </w:rPr>
                              <w:t>会员使用服务卡消费</w:t>
                            </w:r>
                          </w:p>
                        </w:txbxContent>
                      </v:textbox>
                    </v:shape>
                  </w:pict>
                </mc:Fallback>
              </mc:AlternateContent>
            </w:r>
          </w:p>
        </w:tc>
      </w:tr>
    </w:tbl>
    <w:p w14:paraId="477B9094">
      <w:pPr>
        <w:keepNext w:val="0"/>
        <w:keepLines w:val="0"/>
        <w:pageBreakBefore w:val="0"/>
        <w:widowControl w:val="0"/>
        <w:numPr>
          <w:ilvl w:val="0"/>
          <w:numId w:val="0"/>
        </w:numPr>
        <w:kinsoku/>
        <w:wordWrap/>
        <w:overflowPunct/>
        <w:topLinePunct/>
        <w:autoSpaceDE w:val="0"/>
        <w:autoSpaceDN/>
        <w:bidi w:val="0"/>
        <w:adjustRightInd/>
        <w:snapToGrid/>
        <w:spacing w:line="576" w:lineRule="exact"/>
        <w:jc w:val="both"/>
        <w:textAlignment w:val="auto"/>
        <w:rPr>
          <w:rFonts w:hint="eastAsia" w:ascii="仿宋_GB2312" w:hAnsi="仿宋_GB2312" w:eastAsia="仿宋_GB2312" w:cs="仿宋_GB2312"/>
          <w:color w:val="FF0000"/>
          <w:sz w:val="32"/>
          <w:szCs w:val="32"/>
          <w:lang w:val="en-US" w:eastAsia="zh-CN"/>
        </w:rPr>
      </w:pPr>
    </w:p>
    <w:sectPr>
      <w:pgSz w:w="16838" w:h="11906" w:orient="landscape"/>
      <w:pgMar w:top="1800" w:right="1440" w:bottom="180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1015F">
    <w:pPr>
      <w:pStyle w:val="2"/>
    </w:pPr>
    <w:r>
      <w:rPr>
        <w:sz w:val="18"/>
      </w:rPr>
      <mc:AlternateContent>
        <mc:Choice Requires="wps">
          <w:drawing>
            <wp:anchor distT="0" distB="0" distL="114300" distR="114300" simplePos="0" relativeHeight="25167872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A441E1">
                          <w:pPr>
                            <w:pStyle w:val="2"/>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87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54A441E1">
                    <w:pPr>
                      <w:pStyle w:val="2"/>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singleLevel"/>
    <w:tmpl w:val="0000000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20194D"/>
    <w:rsid w:val="08D13DE0"/>
    <w:rsid w:val="0B787579"/>
    <w:rsid w:val="115775F8"/>
    <w:rsid w:val="1A196EE0"/>
    <w:rsid w:val="1E2D04AB"/>
    <w:rsid w:val="2020194D"/>
    <w:rsid w:val="33182487"/>
    <w:rsid w:val="334A3183"/>
    <w:rsid w:val="392324CD"/>
    <w:rsid w:val="3D073351"/>
    <w:rsid w:val="42117470"/>
    <w:rsid w:val="4269685C"/>
    <w:rsid w:val="4B9446F0"/>
    <w:rsid w:val="58694A68"/>
    <w:rsid w:val="591A3D95"/>
    <w:rsid w:val="648452DB"/>
    <w:rsid w:val="6729654F"/>
    <w:rsid w:val="6B9C078F"/>
    <w:rsid w:val="75A803E5"/>
    <w:rsid w:val="786931D3"/>
    <w:rsid w:val="79D12015"/>
    <w:rsid w:val="7A1D5F54"/>
    <w:rsid w:val="7AAD65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lang w:val="en-US" w:eastAsia="zh-CN"/>
    </w:rPr>
  </w:style>
  <w:style w:type="paragraph" w:styleId="3">
    <w:name w:val="Normal (Web)"/>
    <w:basedOn w:val="1"/>
    <w:qFormat/>
    <w:uiPriority w:val="0"/>
    <w:pPr>
      <w:jc w:val="left"/>
    </w:pPr>
    <w:rPr>
      <w:kern w:val="0"/>
      <w:sz w:val="24"/>
      <w:szCs w:val="24"/>
      <w:lang w:val="en-US" w:eastAsia="zh-CN"/>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List Paragraph"/>
    <w:basedOn w:val="1"/>
    <w:qFormat/>
    <w:uiPriority w:val="0"/>
    <w:pPr>
      <w:ind w:firstLine="420" w:firstLineChars="200"/>
      <w:jc w:val="both"/>
    </w:pPr>
    <w:rPr>
      <w:lang w:val="en-US" w:eastAsia="zh-CN"/>
    </w:rPr>
  </w:style>
  <w:style w:type="paragraph" w:customStyle="1" w:styleId="8">
    <w:name w:val="列表段落1"/>
    <w:basedOn w:val="1"/>
    <w:qFormat/>
    <w:uiPriority w:val="0"/>
    <w:pPr>
      <w:ind w:firstLine="420" w:firstLineChars="200"/>
      <w:jc w:val="both"/>
    </w:pPr>
    <w:rPr>
      <w:lang w:val="en-US"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13021</Words>
  <Characters>13341</Characters>
  <Lines>0</Lines>
  <Paragraphs>0</Paragraphs>
  <TotalTime>14</TotalTime>
  <ScaleCrop>false</ScaleCrop>
  <LinksUpToDate>false</LinksUpToDate>
  <CharactersWithSpaces>13505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2026-01-09T03:19:00Z</dcterms:created>
  <dc:creator>陈</dc:creator>
  <cp:lastModifiedBy>果果妈</cp:lastModifiedBy>
  <dcterms:modified xsi:type="dcterms:W3CDTF">2026-10-19T08:35:55Z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2441FBD48561483DB74DAD8EF94B83CD_13</vt:lpwstr>
  </property>
  <property fmtid="{D5CDD505-2E9C-101B-9397-08002B2CF9AE}" pid="4" name="KSOTemplateDocerSaveRecord">
    <vt:lpwstr>eyJoZGlkIjoiNGQwZmE4MzVhMDUzYTBlYWI2MTZiMGZiYTU4NThjNzgiLCJ1c2VySWQiOiI0MDY2NzI3NDUifQ==</vt:lpwstr>
  </property>
</Properties>
</file>